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certain controlled substance prescription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481.076(a), (f), (g), and (h),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not permit any person to have access to information submitted to the board under Section 481.074(q) or 481.075 except: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board, the Texas Medical Board, the Texas </w:t>
      </w:r>
      <w:r>
        <w:rPr>
          <w:u w:val="single"/>
        </w:rPr>
        <w:t xml:space="preserve">Department of Licensing and Regulation, with respect to the regulation of podiatrists</w:t>
      </w:r>
      <w:r>
        <w:t xml:space="preserve"> [</w:t>
      </w:r>
      <w:r>
        <w:rPr>
          <w:strike/>
        </w:rPr>
        <w:t xml:space="preserve">State Board of Podiatric Medical Examiners</w:t>
      </w:r>
      <w:r>
        <w:t xml:space="preserve">], the State Board of Dental Examiners, the State Board of Veterinary Medical Examiners, the Texas Board of Nursing, or the Texas Optometry Board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investigating a specific license holder;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monitoring for potentially harmful prescribing or dispensing patterns or practices under Section 481.0762;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[</w:t>
      </w:r>
      <w:r>
        <w:rPr>
          <w:strike/>
        </w:rPr>
        <w:t xml:space="preserve">authorized officer or member of the department or</w:t>
      </w:r>
      <w:r>
        <w:t xml:space="preserve">] authorized employee of the board engaged in the administration, investigation, or enforcement of this chapter or another law governing illicit drugs in this state or another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or other</w:t>
      </w:r>
      <w:r>
        <w:t xml:space="preserve"> [</w:t>
      </w:r>
      <w:r>
        <w:rPr>
          <w:strike/>
        </w:rPr>
        <w:t xml:space="preserve">on behalf of a</w:t>
      </w:r>
      <w:r>
        <w:t xml:space="preserve">] law enforcement or prosecutorial official engaged in the administration, investigation, or enforcement of this chapter or another law governing illicit drugs in this state or another state</w:t>
      </w:r>
      <w:r>
        <w:rPr>
          <w:u w:val="single"/>
        </w:rPr>
        <w:t xml:space="preserve">, if the board is provided a warrant, subpoena, or other court order compelling the disclosure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medical examiner conducting an investigation;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provided that accessing the information is authorized under the Health Insurance Portability and Accountability Act of 1996 (Pub. L. No.</w:t>
      </w:r>
      <w:r xml:space="preserve">
        <w:t> </w:t>
      </w:r>
      <w:r>
        <w:t xml:space="preserve">104-191) and regulations adopted under that Act: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pharmacist or a pharmacy technician, as defined by Section 551.003, Occupations Code, acting at the direction of a pharmacist;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practitioner who: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a physician, dentist, veterinarian, podiatrist, optometrist, or advanced practice nurse or is a physician assistant described by Section 481.002(39)(D) or an employee or other agent of a practitioner acting at the direction of a practitioner;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is inquiring about a recent Schedule II, III, IV, or V prescription history of a particular patient of the practitioner;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pharmacist or practitioner who is inquiring about the person's own dispensing or prescribing activity;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or more states or an association of states with which the board has an interoperability agreement, as provided by Subsection (j)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attorney general conducting an investigation into a violation of Chapter 36, Human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 accesses</w:t>
      </w:r>
      <w:r>
        <w:t xml:space="preserve"> [</w:t>
      </w:r>
      <w:r>
        <w:rPr>
          <w:strike/>
        </w:rPr>
        <w:t xml:space="preserve">director permits access to</w:t>
      </w:r>
      <w:r>
        <w:t xml:space="preserve">] information under Subsection (a)(2) relating to a person licensed or regulated by an agency listed in Subsection (a)(1),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and cooperate with that agency regarding the disposition of the matter before taking action against the person, unless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determines that notification is reasonably likely to interfere with an administrative or criminal investigation or prosecution.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 provides</w:t>
      </w:r>
      <w:r>
        <w:t xml:space="preserve"> [</w:t>
      </w:r>
      <w:r>
        <w:rPr>
          <w:strike/>
        </w:rPr>
        <w:t xml:space="preserve">director permits</w:t>
      </w:r>
      <w:r>
        <w:t xml:space="preserve">] access to information under Subsection (a)(3) relating to a person licensed or regulated by an agency listed in Subsection (a)(1),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that agency of the disclosure of the information not later than the 10th working day after the date the information is disclosed.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withholds notification to an agency under Subsection (f),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shall notify the agency of the disclosure of the information and the reason for withholding notification when the </w:t>
      </w:r>
      <w:r>
        <w:rPr>
          <w:u w:val="single"/>
        </w:rPr>
        <w:t xml:space="preserve">board</w:t>
      </w:r>
      <w:r>
        <w:t xml:space="preserve"> [</w:t>
      </w:r>
      <w:r>
        <w:rPr>
          <w:strike/>
        </w:rPr>
        <w:t xml:space="preserve">director</w:t>
      </w:r>
      <w:r>
        <w:t xml:space="preserve">] determines that notification is no longer likely to interfere with an administrative or criminal investigation or prosecution.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481.076(a-3), (a-4), and (a-5), Health and Safety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information accessed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