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86R5594 JSC-D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Watson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363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access to certain controlled substance prescription information.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Sections 481.076(a), (f), (g), and (h), Health and Safety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board may not permit any person to have access to information submitted to the board under Section 481.074(q) or 481.075 except: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board, the Texas Medical Board, the Texas </w:t>
      </w:r>
      <w:r>
        <w:rPr>
          <w:u w:val="single"/>
        </w:rPr>
        <w:t xml:space="preserve">Department of Licensing and Regulation, with respect to the regulation of podiatrists</w:t>
      </w:r>
      <w:r>
        <w:t xml:space="preserve"> [</w:t>
      </w:r>
      <w:r>
        <w:rPr>
          <w:strike/>
        </w:rPr>
        <w:t xml:space="preserve">State Board of Podiatric Medical Examiners</w:t>
      </w:r>
      <w:r>
        <w:t xml:space="preserve">], the State Board of Dental Examiners, the State Board of Veterinary Medical Examiners, the Texas Board of Nursing, or the Texas Optometry Board for the purpose of: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investigating a specific license holder;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monitoring for potentially harmful prescribing or dispensing patterns or practices under Section 481.0762;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an [</w:t>
      </w:r>
      <w:r>
        <w:rPr>
          <w:strike/>
        </w:rPr>
        <w:t xml:space="preserve">authorized officer or member of the department or</w:t>
      </w:r>
      <w:r>
        <w:t xml:space="preserve">] authorized employee of the board engaged in the administration, investigation, or enforcement of this chapter or another law governing illicit drugs in this state or another state;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the department </w:t>
      </w:r>
      <w:r>
        <w:rPr>
          <w:u w:val="single"/>
        </w:rPr>
        <w:t xml:space="preserve">or other</w:t>
      </w:r>
      <w:r>
        <w:t xml:space="preserve"> [</w:t>
      </w:r>
      <w:r>
        <w:rPr>
          <w:strike/>
        </w:rPr>
        <w:t xml:space="preserve">on behalf of a</w:t>
      </w:r>
      <w:r>
        <w:t xml:space="preserve">] law enforcement or prosecutorial official engaged in the administration, investigation, or enforcement of this chapter or another law governing illicit drugs in this state or another state</w:t>
      </w:r>
      <w:r>
        <w:rPr>
          <w:u w:val="single"/>
        </w:rPr>
        <w:t xml:space="preserve">, if the board is provided a warrant, subpoena, or other court order compelling the disclosure</w:t>
      </w:r>
      <w:r>
        <w:t xml:space="preserve">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a medical examiner conducting an investigation;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provided that accessing the information is authorized under the Health Insurance Portability and Accountability Act of 1996 (Pub. L. No.</w:t>
      </w:r>
      <w:r xml:space="preserve">
        <w:t> </w:t>
      </w:r>
      <w:r>
        <w:t xml:space="preserve">104-191) and regulations adopted under that Act: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pharmacist or a pharmacy technician, as defined by Section 551.003, Occupations Code, acting at the direction of a pharmacist;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practitioner who: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(i)</w:t>
      </w:r>
      <w:r xml:space="preserve">
        <w:t> </w:t>
      </w:r>
      <w:r xml:space="preserve">
        <w:t> </w:t>
      </w:r>
      <w:r>
        <w:t xml:space="preserve">is a physician, dentist, veterinarian, podiatrist, optometrist, or advanced practice nurse or is a physician assistant described by Section 481.002(39)(D) or an employee or other agent of a practitioner acting at the direction of a practitioner; and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(ii)</w:t>
      </w:r>
      <w:r xml:space="preserve">
        <w:t> </w:t>
      </w:r>
      <w:r xml:space="preserve">
        <w:t> </w:t>
      </w:r>
      <w:r>
        <w:t xml:space="preserve">is inquiring about a recent Schedule II, III, IV, or V prescription history of a particular patient of the practitioner;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a pharmacist or practitioner who is inquiring about the person's own dispensing or prescribing activity;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(7)</w:t>
      </w:r>
      <w:r xml:space="preserve">
        <w:t> </w:t>
      </w:r>
      <w:r xml:space="preserve">
        <w:t> </w:t>
      </w:r>
      <w:r>
        <w:t xml:space="preserve">one or more states or an association of states with which the board has an interoperability agreement, as provided by Subsection (j).</w:t>
      </w:r>
    </w:p>
    <w:p w:rsidR="003F3435" w:rsidRDefault="0032493E">
      <w:pPr>
        <w:spacing w:line="480" w:lineRule="auto"/>
        <w:ind w:firstLine="720"/>
        <w:jc w:val="both"/>
      </w:pPr>
      <w:r>
        <w:t xml:space="preserve">(f)</w:t>
      </w:r>
      <w:r xml:space="preserve">
        <w:t> </w:t>
      </w:r>
      <w:r xml:space="preserve">
        <w:t> </w:t>
      </w:r>
      <w:r>
        <w:t xml:space="preserve">If the </w:t>
      </w:r>
      <w:r>
        <w:rPr>
          <w:u w:val="single"/>
        </w:rPr>
        <w:t xml:space="preserve">board accesses</w:t>
      </w:r>
      <w:r>
        <w:t xml:space="preserve"> [</w:t>
      </w:r>
      <w:r>
        <w:rPr>
          <w:strike/>
        </w:rPr>
        <w:t xml:space="preserve">director permits access to</w:t>
      </w:r>
      <w:r>
        <w:t xml:space="preserve">] information under Subsection (a)(2) relating to a person licensed or regulated by an agency listed in Subsection (a)(1), the </w:t>
      </w:r>
      <w:r>
        <w:rPr>
          <w:u w:val="single"/>
        </w:rPr>
        <w:t xml:space="preserve">board</w:t>
      </w:r>
      <w:r>
        <w:t xml:space="preserve"> [</w:t>
      </w:r>
      <w:r>
        <w:rPr>
          <w:strike/>
        </w:rPr>
        <w:t xml:space="preserve">director</w:t>
      </w:r>
      <w:r>
        <w:t xml:space="preserve">] shall notify and cooperate with that agency regarding the disposition of the matter before taking action against the person, unless the </w:t>
      </w:r>
      <w:r>
        <w:rPr>
          <w:u w:val="single"/>
        </w:rPr>
        <w:t xml:space="preserve">board</w:t>
      </w:r>
      <w:r>
        <w:t xml:space="preserve"> [</w:t>
      </w:r>
      <w:r>
        <w:rPr>
          <w:strike/>
        </w:rPr>
        <w:t xml:space="preserve">director</w:t>
      </w:r>
      <w:r>
        <w:t xml:space="preserve">] determines that notification is reasonably likely to interfere with an administrative or criminal investigation or prosecution.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(g)</w:t>
      </w:r>
      <w:r xml:space="preserve">
        <w:t> </w:t>
      </w:r>
      <w:r xml:space="preserve">
        <w:t> </w:t>
      </w:r>
      <w:r>
        <w:t xml:space="preserve">If the </w:t>
      </w:r>
      <w:r>
        <w:rPr>
          <w:u w:val="single"/>
        </w:rPr>
        <w:t xml:space="preserve">board provides</w:t>
      </w:r>
      <w:r>
        <w:t xml:space="preserve"> [</w:t>
      </w:r>
      <w:r>
        <w:rPr>
          <w:strike/>
        </w:rPr>
        <w:t xml:space="preserve">director permits</w:t>
      </w:r>
      <w:r>
        <w:t xml:space="preserve">] access to information under Subsection (a)(3) relating to a person licensed or regulated by an agency listed in Subsection (a)(1), the </w:t>
      </w:r>
      <w:r>
        <w:rPr>
          <w:u w:val="single"/>
        </w:rPr>
        <w:t xml:space="preserve">board</w:t>
      </w:r>
      <w:r>
        <w:t xml:space="preserve"> [</w:t>
      </w:r>
      <w:r>
        <w:rPr>
          <w:strike/>
        </w:rPr>
        <w:t xml:space="preserve">director</w:t>
      </w:r>
      <w:r>
        <w:t xml:space="preserve">] shall notify that agency of the disclosure of the information not later than the 10th working day after the date the information is disclosed.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(h)</w:t>
      </w:r>
      <w:r xml:space="preserve">
        <w:t> </w:t>
      </w:r>
      <w:r xml:space="preserve">
        <w:t> </w:t>
      </w:r>
      <w:r>
        <w:t xml:space="preserve">If the </w:t>
      </w:r>
      <w:r>
        <w:rPr>
          <w:u w:val="single"/>
        </w:rPr>
        <w:t xml:space="preserve">board</w:t>
      </w:r>
      <w:r>
        <w:t xml:space="preserve"> [</w:t>
      </w:r>
      <w:r>
        <w:rPr>
          <w:strike/>
        </w:rPr>
        <w:t xml:space="preserve">director</w:t>
      </w:r>
      <w:r>
        <w:t xml:space="preserve">] withholds notification to an agency under Subsection (f), the </w:t>
      </w:r>
      <w:r>
        <w:rPr>
          <w:u w:val="single"/>
        </w:rPr>
        <w:t xml:space="preserve">board</w:t>
      </w:r>
      <w:r>
        <w:t xml:space="preserve"> [</w:t>
      </w:r>
      <w:r>
        <w:rPr>
          <w:strike/>
        </w:rPr>
        <w:t xml:space="preserve">director</w:t>
      </w:r>
      <w:r>
        <w:t xml:space="preserve">] shall notify the agency of the disclosure of the information and the reason for withholding notification when the </w:t>
      </w:r>
      <w:r>
        <w:rPr>
          <w:u w:val="single"/>
        </w:rPr>
        <w:t xml:space="preserve">board</w:t>
      </w:r>
      <w:r>
        <w:t xml:space="preserve"> [</w:t>
      </w:r>
      <w:r>
        <w:rPr>
          <w:strike/>
        </w:rPr>
        <w:t xml:space="preserve">director</w:t>
      </w:r>
      <w:r>
        <w:t xml:space="preserve">] determines that notification is no longer likely to interfere with an administrative or criminal investigation or prosecution.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Sections 481.076(a-3), (a-4), and (a-5), Health and Safety Code, are repealed.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To the extent of any conflict, this Act prevails over another Act of the 86th Legislature, Regular Session, 2019, relating to nonsubstantive additions to and corrections in enacted codes.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The changes in law made by this Act apply only to information accessed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5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363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