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86R4764 BRG-D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369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availability on the Internet of certain registrations and reports filed by lobbyists.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305, Government Code, is amended by adding Section 305.0091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305.0091.</w:t>
      </w:r>
      <w:r>
        <w:rPr>
          <w:u w:val="single"/>
        </w:rPr>
        <w:t xml:space="preserve"> </w:t>
      </w:r>
      <w:r>
        <w:rPr>
          <w:u w:val="single"/>
        </w:rPr>
        <w:t xml:space="preserve"> </w:t>
      </w:r>
      <w:r>
        <w:rPr>
          <w:u w:val="single"/>
        </w:rPr>
        <w:t xml:space="preserve">AVAILABILITY OF REGISTRATIONS AND REPORTS ON INTERNET.  (a)  The commission shall make available to the public on the commission's Internet website each registration or report filed with the commission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305.009(e), the commission shall make a registration or report available on the commission's Internet website not later than the 10th business day after the date the registration or report is filed.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remove the home address of an individual from a registration or report before posting the registration or report on the commission's Internet website.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may not remove a registration or report from the commission's Internet website before the fifth anniversary of the date the commission makes the registration or report available on the commission's Internet website.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305.0091, Government Code, as added by this Act, applies only to a registration, registration renewal, amended registration statement, or report required to be filed under Chapter 305, Government Code, on or after the effective date of this Act.  A registration, registration renewal, amended registration statement, or report required to be filed under Chapter 305, Government Code, before the effective date of this Act is governed by the law in effect on the date the registration, registration renewal, amended registration statement, or report is due,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