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370</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w:t>
      </w:r>
      <w:r xml:space="preserve">
        <w:t> </w:t>
      </w:r>
      <w:r xml:space="preserve">
        <w:t>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