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370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16,</w:t>
      </w:r>
      <w:r xml:space="preserve">
        <w:t> </w:t>
      </w:r>
      <w:r>
        <w:t xml:space="preserve">2019; February</w:t>
      </w:r>
      <w:r xml:space="preserve">
        <w:t> </w:t>
      </w:r>
      <w:r>
        <w:t xml:space="preserve">7,</w:t>
      </w:r>
      <w:r xml:space="preserve">
        <w:t> </w:t>
      </w:r>
      <w:r>
        <w:t xml:space="preserve">2019, read first time and referred to Committee on State Affairs; April</w:t>
      </w:r>
      <w:r xml:space="preserve">
        <w:t> </w:t>
      </w:r>
      <w:r>
        <w:t xml:space="preserve">8,</w:t>
      </w:r>
      <w:r xml:space="preserve">
        <w:t> </w:t>
      </w:r>
      <w:r>
        <w:t xml:space="preserve">2019, reported favorably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employment protections for jury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122.001, Civil Practice and Remedies Code, is amended to read as follows:</w:t>
      </w:r>
    </w:p>
    <w:p w:rsidR="003F3435" w:rsidRDefault="0032493E">
      <w:pPr>
        <w:spacing w:line="480" w:lineRule="auto"/>
        <w:ind w:firstLine="720"/>
        <w:jc w:val="both"/>
      </w:pPr>
      <w:r>
        <w:t xml:space="preserve">Sec.</w:t>
      </w:r>
      <w:r xml:space="preserve">
        <w:t> </w:t>
      </w:r>
      <w:r>
        <w:t xml:space="preserve">122.001.</w:t>
      </w:r>
      <w:r xml:space="preserve">
        <w:t> </w:t>
      </w:r>
      <w:r xml:space="preserve">
        <w:t> </w:t>
      </w:r>
      <w:r>
        <w:rPr>
          <w:u w:val="single"/>
        </w:rPr>
        <w:t xml:space="preserve">PROTECTION OF JURORS' EMPLOYMENT;</w:t>
      </w:r>
      <w:r>
        <w:t xml:space="preserve"> JUROR'S RIGHT TO REEMPLOYMENT; NOTICE OF INTENT TO RETURN.  (a)</w:t>
      </w:r>
      <w:r xml:space="preserve">
        <w:t> </w:t>
      </w:r>
      <w:r xml:space="preserve">
        <w:t> </w:t>
      </w:r>
      <w:r>
        <w:rPr>
          <w:u w:val="single"/>
        </w:rPr>
        <w:t xml:space="preserve">An</w:t>
      </w:r>
      <w:r>
        <w:t xml:space="preserve"> [</w:t>
      </w:r>
      <w:r>
        <w:rPr>
          <w:strike/>
        </w:rPr>
        <w:t xml:space="preserve">A private</w:t>
      </w:r>
      <w:r>
        <w:t xml:space="preserve">] employer may not </w:t>
      </w:r>
      <w:r>
        <w:rPr>
          <w:u w:val="single"/>
        </w:rPr>
        <w:t xml:space="preserve">discharge, threaten to discharge, intimidate, or coerce any</w:t>
      </w:r>
      <w:r>
        <w:t xml:space="preserve"> [</w:t>
      </w:r>
      <w:r>
        <w:rPr>
          <w:strike/>
        </w:rPr>
        <w:t xml:space="preserve">terminate the employment of a</w:t>
      </w:r>
      <w:r>
        <w:t xml:space="preserve">] permanent employee because the employee serves as a juror</w:t>
      </w:r>
      <w:r>
        <w:rPr>
          <w:u w:val="single"/>
        </w:rPr>
        <w:t xml:space="preserve">, or for the employee's attendance or scheduled attendance in connection with the service, in any court in the United States</w:t>
      </w:r>
      <w:r>
        <w:t xml:space="preserve">.</w:t>
      </w:r>
    </w:p>
    <w:p w:rsidR="003F3435" w:rsidRDefault="0032493E">
      <w:pPr>
        <w:spacing w:line="480" w:lineRule="auto"/>
        <w:ind w:firstLine="720"/>
        <w:jc w:val="both"/>
      </w:pPr>
      <w:r>
        <w:t xml:space="preserve">(b)</w:t>
      </w:r>
      <w:r xml:space="preserve">
        <w:t> </w:t>
      </w:r>
      <w:r xml:space="preserve">
        <w:t> </w:t>
      </w:r>
      <w:r>
        <w:t xml:space="preserve">An employee </w:t>
      </w:r>
      <w:r>
        <w:rPr>
          <w:u w:val="single"/>
        </w:rPr>
        <w:t xml:space="preserve">who is discharged, threatened with discharge, intimidated, or coerced</w:t>
      </w:r>
      <w:r>
        <w:t xml:space="preserve"> [</w:t>
      </w:r>
      <w:r>
        <w:rPr>
          <w:strike/>
        </w:rPr>
        <w:t xml:space="preserve">whose employment is terminated</w:t>
      </w:r>
      <w:r>
        <w:t xml:space="preserve">] in violation of this section is entitled to return to the same employment that the employee held when summoned for jury service if the employee, as soon as practical after release from jury service, gives the employer actual notice that the employee intends to return.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