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open-enrollment charter school to employ security personnel, commission peace officers, and have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security personnel and commission peace officers in the same manner as a board of trustees of a school district under Section 37.081;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memorandum of understanding with a local law enforcement agency to assign a school resource officer, as that term is defined by Section 1701.601, Occupations Code, to the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law to a peace officer commissioned under Section 37.081 includes a peace officer commissioned by an open-enrollment charter school in accordance with Subsection (a-1), and a charter school peace officer has the same powers, duties, and immunities as a peace officer commissioned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