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372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an open-enrollment charter school to employ security personnel, commission peace officers, and have school resource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12.104, Education Code, is amended by adding Subsections (a-1) and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an open-enrollment charter school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 security personnel and commission peace officers in the same manner as a board of trustees of a school district under Section 37.081;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enter into a memorandum of understanding with a local law enforcement agency to assign a school resource officer, as that term is defined by Section 1701.601, Occupations Code, to the school.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reference in law to a peace officer commissioned under Section 37.081 includes a peace officer commissioned by an open-enrollment charter school in accordance with Subsection (a-1), and a charter school peace officer has the same powers, duties, and immunities as a peace officer commissioned under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372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0; and that the Senate concurred in House amendments on May 24, 2019, by the following vote:  Yeas</w:t>
      </w:r>
      <w:r xml:space="preserve">
        <w:t> </w:t>
      </w:r>
      <w:r>
        <w:t xml:space="preserve">28, Nays</w:t>
      </w:r>
      <w:r xml:space="preserve">
        <w:t> </w:t>
      </w:r>
      <w:r>
        <w:t xml:space="preserve">3.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372 passed the House, with amendments, on May 22, 2019, by the following vote:  Yeas</w:t>
      </w:r>
      <w:r xml:space="preserve">
        <w:t> </w:t>
      </w:r>
      <w:r>
        <w:t xml:space="preserve">121, Nays</w:t>
      </w:r>
      <w:r xml:space="preserve">
        <w:t> </w:t>
      </w:r>
      <w:r>
        <w:t xml:space="preserve">20,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