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372</w:t>
      </w:r>
    </w:p>
    <w:p w:rsidR="003F3435" w:rsidRDefault="0032493E">
      <w:pPr>
        <w:ind w:firstLine="720"/>
        <w:jc w:val="both"/>
      </w:pPr>
      <w:r>
        <w:t xml:space="preserve">(VanDeaver)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open-enrollment charter school to employ security personnel, commission peace officers, and have school resource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12.104, Education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an open-enrollment charter school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security personnel and commission peace officers in the same manner as a board of trustees of a school district under Section 37.081;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 memorandum of understanding with a local law enforcement agency to assign a school resource officer, as that term is defined by Section 1701.601, Occupations Code, to the school.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law to a peace officer commissioned under Section 37.081 includes a peace officer commissioned by an open-enrollment charter school in accordance with Subsection (a-1), and a charter school peace officer has the same powers, duties, and immunities as a peace officer commissioned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