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86R1014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open-enrollment charter school to employ security personnel, commission peace officers, and have school resource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12.104, Education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an open-enrollment charter school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security personnel and commission peace officers in the same manner as a board of trustees of a school district under Section 37.081;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 memorandum of understanding with a local law enforcement agency to assign a school resource officer, as that term is defined by Section 1701.601, Occupations Code, to the school.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law to a peace officer commissioned under Section 37.081 includes a peace officer commissioned by an open-enrollment charter school in accordance with Subsection (a-1), and a charter school peace officer has the same powers, duties, and immunities as a peace officer commissioned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