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86R2063 YDB-D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certain applicants for state bar examination.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82, Government Code, is amended by adding Section 82.025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82.025.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ATTORNEY LICENSED IN ANOTHER STATE.  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Sections 82.024, 82.0241, and 82.036, an attorney licensed to practice law in another state is eligible to take this state's bar examination if the attorney: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citizen of the United States;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satisfies all other requirements to be licensed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attorney eligible to take the examination under this section must comply with the procedures and deadlines prescribed by the supreme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