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funds from being used to enforce certain federal or international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jc w:val="center"/>
      </w:pPr>
      <w:r>
        <w:rPr>
          <w:u w:val="single"/>
        </w:rPr>
        <w:t xml:space="preserve">CHAPTER 2. GENERAL PROVISIONS RELATING TO USE OF PUBLIC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PROHIBITION ON USE OF PUBLIC FUNDS TO ENFORCE CERTAIN FEDERAL OR INTERNATIONAL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detachable firearm magazine.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entity described by Subsection (b) may not use public funds to enforce a federal statute, order, rule, or regulation or an international law purporting to regulate a firearm, a firearm accessory, or firearm ammunition, or the carrying of those items, if the federal statute, order, rule, or regulation or international law imposes a prohibition, restriction, or other regulation, such as a capacity, size, or configuration limitation, that does not exist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(b) may not receive state grant funds if the entity adopts a rule, order, ordinance, or policy under which the entity requires the enforcement of any federal statute, order, rule, or regulation or an international law described by Subsection (c) or if the entity, by consistent actions, requires the enforcement of any federal statute, order, rule, or regulation or an international law described by Subsection (c).  State grant funds for the entity shall be denied for the fiscal year following the year in which a final judicial determination in an action brought under this section is made that the entity has intentionally required the enforcement of any federal statute, order, rule, or regulation or an international law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(b) may file a complaint with the attorney general if the citizen offers evidence to support an allegation that the entity has adopted a rule, order, ordinance, or policy under which the entity requires the enforcement of any federal statute, order, rule, or regulation or an international law described by Subsection (c) or that the entity, by consistent actions, requires the enforcement of any federal statute, order, rule, or regulation or an international law described by Subsection (c).  The citizen must include with the complaint the evidence the citizen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(b) is valid, the attorney general may file a petition for a writ of mandamus or apply for other appropriate equitable relief in a district court in Travis County or in the county in which the principal office of the entity is located to compel the entity to comply with Subsection (c).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entity described by Subsection (b) that the federal government attempts to sue or prosecute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