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toll collections and enforcement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284.209, Transportation Code, is amended to read as follows:</w:t>
      </w:r>
    </w:p>
    <w:p w:rsidR="003F3435" w:rsidRDefault="0032493E">
      <w:pPr>
        <w:spacing w:line="480" w:lineRule="auto"/>
        <w:ind w:firstLine="720"/>
        <w:jc w:val="both"/>
      </w:pPr>
      <w:r>
        <w:t xml:space="preserve">Sec.</w:t>
      </w:r>
      <w:r xml:space="preserve">
        <w:t> </w:t>
      </w:r>
      <w:r>
        <w:t xml:space="preserve">284.209.</w:t>
      </w:r>
      <w:r xml:space="preserve">
        <w:t> </w:t>
      </w:r>
      <w:r xml:space="preserve">
        <w:t> </w:t>
      </w:r>
      <w:r>
        <w:t xml:space="preserve">ENFORCEMENT OF DECISION.  A decision issued under Section 284.208(a) may be enforced by:</w:t>
      </w:r>
    </w:p>
    <w:p w:rsidR="003F3435" w:rsidRDefault="0032493E">
      <w:pPr>
        <w:spacing w:line="480" w:lineRule="auto"/>
        <w:ind w:firstLine="1440"/>
        <w:jc w:val="both"/>
      </w:pPr>
      <w:r>
        <w:t xml:space="preserve">(1)</w:t>
      </w:r>
      <w:r xml:space="preserve">
        <w:t> </w:t>
      </w:r>
      <w:r xml:space="preserve">
        <w:t> </w:t>
      </w:r>
      <w:r>
        <w:t xml:space="preserve">placing a device that prohibits movement of a motor vehicle on the vehicle that is the subject of the decision;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imposing an additional fine if the fine for the offense is not paid within a specified time[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refusing to allow the registration 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366.038(h), Transportation Code, is amended to read as follows:</w:t>
      </w:r>
    </w:p>
    <w:p w:rsidR="003F3435" w:rsidRDefault="0032493E">
      <w:pPr>
        <w:spacing w:line="480" w:lineRule="auto"/>
        <w:ind w:firstLine="720"/>
        <w:jc w:val="both"/>
      </w:pPr>
      <w:r>
        <w:t xml:space="preserve">(h)</w:t>
      </w:r>
      <w:r xml:space="preserve">
        <w:t> </w:t>
      </w:r>
      <w:r xml:space="preserve">
        <w:t> </w:t>
      </w:r>
      <w:r>
        <w:t xml:space="preserve">For purposes of Subchapter C, Chapter 372, a toll project for which an authority provides tolling services under a tolling services agreement is considered a toll project of the authority and the authority is considered the toll project entity with respect to all rights and remedies arising under that subchapter regarding the toll project. The authority may not stop [</w:t>
      </w:r>
      <w:r>
        <w:rPr>
          <w:strike/>
        </w:rPr>
        <w:t xml:space="preserve">, detain, or impound</w:t>
      </w:r>
      <w:r>
        <w:t xml:space="preserve">] a motor vehicle as authorized under that subchapter on a toll project's active traffic lanes unless a tolling service agreement addresses that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372, Transportation Code, is amended by adding Sections 372.054 and 372.055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INITIAL TOLL INVOICE SENT BY MAIL OR ELECTRONIC MEANS. </w:t>
      </w:r>
      <w:r>
        <w:rPr>
          <w:u w:val="single"/>
        </w:rPr>
        <w:t xml:space="preserve"> </w:t>
      </w:r>
      <w:r>
        <w:rPr>
          <w:u w:val="single"/>
        </w:rPr>
        <w:t xml:space="preserve">(a) </w:t>
      </w:r>
      <w:r>
        <w:rPr>
          <w:u w:val="single"/>
        </w:rPr>
        <w:t xml:space="preserve"> </w:t>
      </w:r>
      <w:r>
        <w:rPr>
          <w:u w:val="single"/>
        </w:rPr>
        <w:t xml:space="preserve">This section applies only to a toll project entity that, as an alternative to requiring payment of a toll at the time a vehicle is driven or towed through a toll assessment facility, uses video recordings, photography, electronic data, transponders, or other tolling methods to permit the registered owner of a nonpaying vehicle to pay the toll at a later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that sends by first class mail or electronic means to the registered owner of a vehicle an initial invoice containing an assessment for use of a toll project by the vehicle may not assess an additional fee other than a postage fee to the amount owed by the owner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372.055.</w:t>
      </w:r>
      <w:r>
        <w:rPr>
          <w:u w:val="single"/>
        </w:rPr>
        <w:t xml:space="preserve"> </w:t>
      </w:r>
      <w:r>
        <w:rPr>
          <w:u w:val="single"/>
        </w:rPr>
        <w:t xml:space="preserve"> </w:t>
      </w:r>
      <w:r>
        <w:rPr>
          <w:u w:val="single"/>
        </w:rPr>
        <w:t xml:space="preserve">NOTICE OF RETURNED PAYMENT.  A toll project entity must immediately notify the holder of an electronic toll collection customer account that a payment by the credit card or debit card associated with the account was declined or could not otherwise be processed.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372.109(b),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When a determination terminates, the toll project entity shall, not later than the seventh day after the date of the termination, send notice of the termination[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to the person who is the subject of the determination at an address under Section 372.106(b)[</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toll project entity provided notice to a county assessor-collector or the Texas Department of Motor Vehicles under Section 502.011, to that county assessor-collector or that department, as appropriate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284.070(c), 372.111, 372.112, and 502.011, Transportation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