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86R5007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w:t>
      </w:r>
      <w:r xml:space="preserve">
        <w:tab wTab="150" tlc="none" cTlc="0"/>
      </w:r>
      <w:r>
        <w:t xml:space="preserve">S.B.</w:t>
      </w:r>
      <w:r xml:space="preserve">
        <w:t> </w:t>
      </w:r>
      <w:r>
        <w:t xml:space="preserve">No.</w:t>
      </w:r>
      <w:r xml:space="preserve">
        <w:t> </w:t>
      </w:r>
      <w:r>
        <w:t xml:space="preserve">384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reporting of health care-associated infections and preventable adverse events at health care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98.103, Health and Safety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health care facility[</w:t>
      </w:r>
      <w:r>
        <w:rPr>
          <w:strike/>
        </w:rPr>
        <w:t xml:space="preserve">, other than a pediatric and adolescent hospital,</w:t>
      </w:r>
      <w:r>
        <w:t xml:space="preserve">] shall report to the department </w:t>
      </w:r>
      <w:r>
        <w:rPr>
          <w:u w:val="single"/>
        </w:rPr>
        <w:t xml:space="preserve">each health care-associated infection</w:t>
      </w:r>
      <w:r>
        <w:t xml:space="preserve"> </w:t>
      </w:r>
      <w:r>
        <w:t xml:space="preserve">[</w:t>
      </w:r>
      <w:r>
        <w:rPr>
          <w:strike/>
        </w:rPr>
        <w:t xml:space="preserve">the incidence of surgical site infections</w:t>
      </w:r>
      <w:r>
        <w:t xml:space="preserve">], including the causative pathogen if the infection is laboratory-confirmed, </w:t>
      </w:r>
      <w:r>
        <w:rPr>
          <w:u w:val="single"/>
        </w:rPr>
        <w:t xml:space="preserve">that occurs</w:t>
      </w:r>
      <w:r>
        <w:t xml:space="preserve"> </w:t>
      </w:r>
      <w:r>
        <w:t xml:space="preserve">[</w:t>
      </w:r>
      <w:r>
        <w:rPr>
          <w:strike/>
        </w:rPr>
        <w:t xml:space="preserve">occurring</w:t>
      </w:r>
      <w:r>
        <w:t xml:space="preserve">] in the </w:t>
      </w:r>
      <w:r>
        <w:rPr>
          <w:u w:val="single"/>
        </w:rPr>
        <w:t xml:space="preserve">facility and that the federal Centers for Medicare and Medicaid Services requires a facility participating in the Medicare program to report through the federal Centers for Disease Control and Prevention's National Healthcare Safety Network, </w:t>
      </w:r>
      <w:r>
        <w:rPr>
          <w:u w:val="single"/>
        </w:rPr>
        <w:t xml:space="preserve"> </w:t>
      </w:r>
      <w:r>
        <w:rPr>
          <w:u w:val="single"/>
        </w:rPr>
        <w:t xml:space="preserve">or its successor</w:t>
      </w:r>
      <w:r>
        <w:t xml:space="preserve"> </w:t>
      </w:r>
      <w:r>
        <w:t xml:space="preserve">[</w:t>
      </w:r>
      <w:r>
        <w:rPr>
          <w:strike/>
        </w:rPr>
        <w:t xml:space="preserve">following procedures: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colon surgeries;</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hip arthroplasties;</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knee arthroplasties;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abdominal hysterectomies;</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vaginal hysterectomies;</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coronary artery bypass grafts; and</w:t>
      </w:r>
    </w:p>
    <w:p w:rsidR="003F3435" w:rsidRDefault="0032493E">
      <w:pPr>
        <w:spacing w:line="480" w:lineRule="auto"/>
        <w:ind w:firstLine="1440"/>
        <w:jc w:val="both"/>
      </w:pPr>
      <w:r>
        <w:t xml:space="preserve">[</w:t>
      </w:r>
      <w:r>
        <w:rPr>
          <w:strike/>
        </w:rPr>
        <w:t xml:space="preserve">(7)</w:t>
      </w:r>
      <w:r xml:space="preserve">
        <w:rPr>
          <w:strike/>
        </w:rPr>
        <w:t> </w:t>
      </w:r>
      <w:r xml:space="preserve">
        <w:rPr>
          <w:strike/>
        </w:rPr>
        <w:t> </w:t>
      </w:r>
      <w:r>
        <w:rPr>
          <w:strike/>
        </w:rPr>
        <w:t xml:space="preserve">vascular procedures</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health care facility shall report each health care-associated infection to the department under this section regardless of the facility's participation in Medicare.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provisions of the Health and Safety Code are repealed:</w:t>
      </w:r>
    </w:p>
    <w:p w:rsidR="003F3435" w:rsidRDefault="0032493E">
      <w:pPr>
        <w:spacing w:line="480" w:lineRule="auto"/>
        <w:ind w:firstLine="1440"/>
        <w:jc w:val="both"/>
      </w:pPr>
      <w:r>
        <w:t xml:space="preserve">(1)</w:t>
      </w:r>
      <w:r xml:space="preserve">
        <w:t> </w:t>
      </w:r>
      <w:r xml:space="preserve">
        <w:t> </w:t>
      </w:r>
      <w:r>
        <w:t xml:space="preserve">Section 98.001(10);</w:t>
      </w:r>
    </w:p>
    <w:p w:rsidR="003F3435" w:rsidRDefault="0032493E">
      <w:pPr>
        <w:spacing w:line="480" w:lineRule="auto"/>
        <w:ind w:firstLine="1440"/>
        <w:jc w:val="both"/>
      </w:pPr>
      <w:r>
        <w:t xml:space="preserve">(2)</w:t>
      </w:r>
      <w:r xml:space="preserve">
        <w:t> </w:t>
      </w:r>
      <w:r xml:space="preserve">
        <w:t> </w:t>
      </w:r>
      <w:r>
        <w:t xml:space="preserve">Sections 98.103(b) and (c); and</w:t>
      </w:r>
    </w:p>
    <w:p w:rsidR="003F3435" w:rsidRDefault="0032493E">
      <w:pPr>
        <w:spacing w:line="480" w:lineRule="auto"/>
        <w:ind w:firstLine="1440"/>
        <w:jc w:val="both"/>
      </w:pPr>
      <w:r>
        <w:t xml:space="preserve">(3)</w:t>
      </w:r>
      <w:r xml:space="preserve">
        <w:t> </w:t>
      </w:r>
      <w:r xml:space="preserve">
        <w:t> </w:t>
      </w:r>
      <w:r>
        <w:t xml:space="preserve">Section 98.105.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executive commissioner of the Health and Human Services Commission shall adopt rules as necessary to implement Section 98.103, Health and Safety Code, as amended by this Act, not later than January 1, 2020.</w:t>
      </w:r>
    </w:p>
    <w:p w:rsidR="003F3435" w:rsidRDefault="0032493E">
      <w:pPr>
        <w:spacing w:line="480" w:lineRule="auto"/>
        <w:ind w:firstLine="720"/>
        <w:jc w:val="both"/>
      </w:pPr>
      <w:r>
        <w:t xml:space="preserve">(b)</w:t>
      </w:r>
      <w:r xml:space="preserve">
        <w:t> </w:t>
      </w:r>
      <w:r xml:space="preserve">
        <w:t> </w:t>
      </w:r>
      <w:r>
        <w:t xml:space="preserve">Section 98.103, Health and Safety Code, as amended by this Act, applies only to a report for a health care-associated infection occurring on or after January 1, 2020. </w:t>
      </w:r>
      <w:r>
        <w:t xml:space="preserve"> </w:t>
      </w:r>
      <w:r>
        <w:t xml:space="preserve">A report for a health care-associated infection occurring before that date is governed by the law as it existed on the date the infection occurred,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