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Nelson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386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18,</w:t>
      </w:r>
      <w:r xml:space="preserve">
        <w:t> </w:t>
      </w:r>
      <w:r>
        <w:t xml:space="preserve">2019; February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Intergovernmental Relations; March</w:t>
      </w:r>
      <w:r xml:space="preserve">
        <w:t> </w:t>
      </w:r>
      <w:r>
        <w:t xml:space="preserve">20,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7, Nays</w:t>
      </w:r>
      <w:r xml:space="preserve">
        <w:t> </w:t>
      </w:r>
      <w:r>
        <w:t xml:space="preserve">0; March</w:t>
      </w:r>
      <w:r xml:space="preserve">
        <w:t> </w:t>
      </w:r>
      <w:r>
        <w:t xml:space="preserve">20,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common characteristic or use project in a public improvement district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372.0035, Local Government Code, is amended by amending Subsection (a)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population of more than 650,000 and less than two million;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325,000 and less than 625,000;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more than 100,000 and less than 125,000 and is wholly located in a county with a population of more than 650,000;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public improvement district established under this subchapter and solely composed of territory in which the only businesses are: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hotels with 100 or more rooms ordinarily used for sleeping, if the district is established by a municipality described by Subdivision (1)(A);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hotels with 75 or more rooms ordinarily used for sleeping, if the district is established by a municipality described by Subdivision (1)(B) </w:t>
      </w:r>
      <w:r>
        <w:rPr>
          <w:u w:val="single"/>
        </w:rPr>
        <w:t xml:space="preserve">or (C)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described by Subsection (a)(1)(C) may undertake a project under this section only for a purpose described by Section 372.003(b)(13).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