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86R2154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procedures for challenging the registration of a voter on the ground of residence.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16.0921(a),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(c), </w:t>
      </w:r>
      <w:r>
        <w:rPr>
          <w:u w:val="single"/>
        </w:rPr>
        <w:t xml:space="preserve">for a voter whose registration is challenged</w:t>
      </w:r>
      <w:r>
        <w:t xml:space="preserve"> </w:t>
      </w:r>
      <w:r>
        <w:t xml:space="preserve">[</w:t>
      </w:r>
      <w:r>
        <w:rPr>
          <w:strike/>
        </w:rPr>
        <w:t xml:space="preserve">on the filing of a sworn statement under Section 16.092</w:t>
      </w:r>
      <w:r>
        <w:t xml:space="preserve">] alleging a ground based on residence, the registrar shall promptly deliver to the voter whose registration is challenged a confirmation notice in accordance with Section 15.051 </w:t>
      </w:r>
      <w:r>
        <w:rPr>
          <w:u w:val="single"/>
        </w:rPr>
        <w:t xml:space="preserve">if the voter fails to appear or submit an affidavit to offer evidence or argument at a hearing under Section 16.093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16.093(a),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 the filing of a sworn statement under Section 16.092 [</w:t>
      </w:r>
      <w:r>
        <w:rPr>
          <w:strike/>
        </w:rPr>
        <w:t xml:space="preserve">alleging a ground other than residence</w:t>
      </w:r>
      <w:r>
        <w:t xml:space="preserve">], the registrar shall schedule a hearing on the challenge. [</w:t>
      </w:r>
      <w:r>
        <w:rPr>
          <w:strike/>
        </w:rPr>
        <w:t xml:space="preserve">The hearing procedure does not apply to an allegation of a ground based on residence.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16.095, Election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(e), after</w:t>
      </w:r>
      <w:r>
        <w:t xml:space="preserve"> [</w:t>
      </w:r>
      <w:r>
        <w:rPr>
          <w:strike/>
        </w:rPr>
        <w:t xml:space="preserve">After</w:t>
      </w:r>
      <w:r>
        <w:t xml:space="preserve">] hearing and considering the evidence or argument, the registrar shall promptly determine the challenge and issue a decision in writing.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challenge alleging a ground based on residence, the registrar may not make a determination and shall send a confirmation notice in accordance with Section 16.0921 if the voter does not appear at the hearing on the challenge or offer evidence or argument by affidavit.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