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86R5631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discretionary disciplinary action by public school districts regarding nonviolent offenses and the adjudication of a child who engages in conduct that constitutes a nonviolent offense on school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37, Education Code, is amended by adding Section 37.1441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37.1441.</w:t>
      </w:r>
      <w:r>
        <w:rPr>
          <w:u w:val="single"/>
        </w:rPr>
        <w:t xml:space="preserve"> </w:t>
      </w:r>
      <w:r>
        <w:rPr>
          <w:u w:val="single"/>
        </w:rPr>
        <w:t xml:space="preserve"> </w:t>
      </w:r>
      <w:r>
        <w:rPr>
          <w:u w:val="single"/>
        </w:rPr>
        <w:t xml:space="preserve">GRADUATED SANCTIONS FOR CERTAIN OFFENSES.  (a) </w:t>
      </w:r>
      <w:r>
        <w:rPr>
          <w:u w:val="single"/>
        </w:rPr>
        <w:t xml:space="preserve"> </w:t>
      </w:r>
      <w:r>
        <w:rPr>
          <w:u w:val="single"/>
        </w:rPr>
        <w:t xml:space="preserve">A school district that has developed a system of graduated sanctions under Section 37.144 must make a good faith effort to impose graduated sanctions on a child before a complaint is filed against the child for a nonviolent offense.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"nonviolent offense" means a property offense, drug offense, or offense against public order and decency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involve a threat of harm against or an attack of a victim;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discretionary disciplinary action by the school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Subsection (a)(1), a nonviolent offense committed on property under the control and jurisdiction of a school district that would subject the child to discretionary disciplinary action by the school district under Section 37.1441, Education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51.03,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(b)(7), "nonviolent offense" means a property offense, drug offense, or offense against public order and decency that does not involve a threat of harm against or an attack of a victim.</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or conduct that occurs on or after the effective date of this Act. </w:t>
      </w:r>
      <w:r>
        <w:t xml:space="preserve"> </w:t>
      </w:r>
      <w:r>
        <w:t xml:space="preserve">An offense committed or conduct that occurs before the effective date of this Act is governed by the law in effect when the offense was committed or the conduct occurred, and the former law is continued in effect for that purpose. </w:t>
      </w:r>
      <w:r>
        <w:t xml:space="preserve"> </w:t>
      </w:r>
      <w:r>
        <w:t xml:space="preserve">For purposes of this section, an offense is committed or conduct occurs before the effective date of this Act if any element of the offense or the conduct occurs before the effective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