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394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transportation allotment credit for school districts required to take action to reduce wealth per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42.155, Education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The commissioner may adopt rules necessary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