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86R4607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2165, Government Code, is amended to read as follows:</w:t>
      </w:r>
    </w:p>
    <w:p w:rsidR="003F3435" w:rsidRDefault="0032493E">
      <w:pPr>
        <w:spacing w:line="480" w:lineRule="auto"/>
        <w:jc w:val="center"/>
      </w:pPr>
      <w:r>
        <w:t xml:space="preserve">SUBCHAPTER I. 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2165, Government Code, is amended by adding Section 2165.404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w:t>
      </w:r>
      <w:r>
        <w:rPr>
          <w:u w:val="single"/>
        </w:rPr>
        <w:t xml:space="preserve"> </w:t>
      </w:r>
      <w:r>
        <w:rPr>
          <w:u w:val="single"/>
        </w:rPr>
        <w:t xml:space="preserve">(a)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expended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the votes necessary for immediate effect, the lieutenant governor and the speaker of the house of representatives shall make appointments to the Joint Oversight Committee on Government Facilities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Government Facilities not later than September 15,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