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86R1064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under the public information law of certain information related to parades, concerts, or other entertainment events open to the general public that are paid for with public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552.104,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(c), the</w:t>
      </w:r>
      <w:r xml:space="preserve">
        <w:t> </w:t>
      </w:r>
      <w:r>
        <w:t xml:space="preserve">[</w:t>
      </w:r>
      <w:r>
        <w:rPr>
          <w:strike/>
        </w:rPr>
        <w:t xml:space="preserve">The</w:t>
      </w:r>
      <w:r>
        <w:t xml:space="preserve">] requirement of Section 552.022 that a category of information listed under Section 552.022(a) is public information and not excepted from required disclosure under this chapter unless expressly confidential under law does not apply to information that is excepted from required disclosure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information described by Section 552.022(a) relating to the receipt or expenditure of public or other funds by a governmental body for a parade, concert, or other entertainment event open to the general public and paid for in whole or part with public funds. </w:t>
      </w:r>
      <w:r>
        <w:rPr>
          <w:u w:val="single"/>
        </w:rPr>
        <w:t xml:space="preserve"> </w:t>
      </w:r>
      <w:r>
        <w:rPr>
          <w:u w:val="single"/>
        </w:rPr>
        <w:t xml:space="preserve">A person, including a governmental body, may not include a provision in a contract related to an event described by this subsection that prohibits or would otherwise prevent the disclosure of information described by this subsection. </w:t>
      </w:r>
      <w:r>
        <w:rPr>
          <w:u w:val="single"/>
        </w:rPr>
        <w:t xml:space="preserve"> </w:t>
      </w:r>
      <w:r>
        <w:rPr>
          <w:u w:val="single"/>
        </w:rPr>
        <w:t xml:space="preserve">A contract provision that violates this subsection is void.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w:t>
      </w:r>
    </w:p>
    <w:p w:rsidR="003F3435" w:rsidRDefault="0032493E">
      <w:pPr>
        <w:spacing w:line="480" w:lineRule="auto"/>
        <w:ind w:firstLine="1440"/>
        <w:jc w:val="both"/>
      </w:pPr>
      <w:r>
        <w:t xml:space="preserve">(1)</w:t>
      </w:r>
      <w:r xml:space="preserve">
        <w:t> </w:t>
      </w:r>
      <w:r xml:space="preserve">
        <w:t> </w:t>
      </w:r>
      <w:r>
        <w:t xml:space="preserve">a request for information that is received by a governmental body or an officer for public information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a contract entered into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