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Birdwell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407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presiding officers of the boards of directors of river authorities.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5, Water Code, is amended by designating Chapter 152 as Subtitle A and adding a subtitle heading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SUBTITLE A.  RIVER AUTHORITIES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Subtitle A, Title 5, Water Code, as added by this Act, is amended by adding Chapter 150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150.  PROVISIONS GENERALLY APPLICABLE TO RIVER AUTHORITIES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150.0001.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"Board" means the board of directors of a river authority.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"River authority" means the San Antonio River Authority and a district: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created by the legislature under the authority of Section 59, Article XVI, Texas Constitution, as a regional water management entity to provide water development and planning services and other services to a river basin or portion of a river basin;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contains one or more counties within its boundaries;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governed by a board of directors appointed or designated wholly or partly by the governor.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150.0002.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PRESIDING OFFICER.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apply to a district with an entirely elected board or the Upper Neches River Municipal Water Authority.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governor shall designate a member of the board of a river authority as the presiding officer of the board to serve in that capacity at the pleasure of the governor.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(a)</w:t>
      </w:r>
      <w:r xml:space="preserve">
        <w:t> </w:t>
      </w:r>
      <w:r xml:space="preserve">
        <w:t> </w:t>
      </w:r>
      <w:r>
        <w:t xml:space="preserve">In this section, "river authority" has the meaning assigned by Section 150.0001, Water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each river authority for which the governor was not required to designate a presiding officer of the board of directors for that river authority before the effective date of this Act and for which the governor is required to designate a presiding officer under Section 150.0002, Water Code, as added by this Act, the governor shall designate a presiding officer of the board of directors of the river authority not later than January 31,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407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