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86R2146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presiding officers of the boards of directors of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Water Code, is amended by designating Chapter 152 as Subtitle A and adding a subtitle heading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A.  RIVER AUTHORITIES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5, Water Code, as added by this Act, is amended by adding Chapter 150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150.  PROVISIONS GENERALLY APPLICABLE TO RIVER AUTHORITIES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directors of a river authority.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"River authority" means a district created under the authority of Section 59, Article XVI, Texas Constitution, as a regional water management entity to provide water development and planning services and other services to a river basin or portion of a river basin.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governor shall designate a member of the board of a river authority as the presiding officer of the board to serve in that capacity at the pleasure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section, "river authority" means a district created under the authority of Section 59, Article XVI, Texas Constitution, as a regional water management entity to provide water development and planning services and other services to a river basin or portion of a river basin.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river authority for which the governor was not required to designate a presiding officer of the board of directors for that river authority before the effective date of this Act, the governor shall designate a presiding officer of the board of directors of the river authority not later than January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