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2019S0030-1  01/07/19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purpose, implementation, and funding of the County Park Beautification and Improvement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Local Government Code, is amended by adding Chapter 328 to read as follows:</w:t>
      </w:r>
    </w:p>
    <w:p w:rsidR="003F3435" w:rsidRDefault="0032493E">
      <w:pPr>
        <w:spacing w:line="480" w:lineRule="auto"/>
        <w:jc w:val="center"/>
      </w:pPr>
      <w:r>
        <w:rPr>
          <w:u w:val="single"/>
        </w:rPr>
        <w:t xml:space="preserve">CHAPTER 328.  COUNTY PARK BEAUTIFICATION AND IMPROVEMENT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PURPOSE; CREATION.  It is the intent of the legislature that each county dedicating land for use as county parks be encouraged to beautify and improve those parks through measures including but not limited to improvements in or additions to lighting, directional and educational signs, litter abatement strategies, and landscaping and landscape maintenance policies.  In furtherance of these goals, the County Park Beautification and Improvement Program is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IMPLEMENTATION.  The commissioners court of a county may by majority vote elect to participate in the program.  On such election, the commissioners court shall designate one person in the division of the county government responsible for the care and maintenance of the county parks as the coordinator for the program.  The coordinator may solicit advice and assistance from state and county agencies and private organizations in developing and implementing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328.003.</w:t>
      </w:r>
      <w:r>
        <w:rPr>
          <w:u w:val="single"/>
        </w:rPr>
        <w:t xml:space="preserve"> </w:t>
      </w:r>
      <w:r>
        <w:rPr>
          <w:u w:val="single"/>
        </w:rPr>
        <w:t xml:space="preserve"> </w:t>
      </w:r>
      <w:r>
        <w:rPr>
          <w:u w:val="single"/>
        </w:rPr>
        <w:t xml:space="preserve">REPORT; ADOPTION.  The coordinator shall report to the commissioners court the coordinator's findings and shall recommend an implementation strategy to the commissioners court.  The commissioners court may reject or adopt the implementation strategy.  If the commissioners court rejects the strategy, it shall specify to the coordinator the reasons for such rejection, and the coordinator shall develop a new implementation strategy to present to the commissioners court within six months of the rejection.  On adoption of an implementation strategy, the commissioners court may fund the program as provided in Section 328.004.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328.004.</w:t>
      </w:r>
      <w:r>
        <w:rPr>
          <w:u w:val="single"/>
        </w:rPr>
        <w:t xml:space="preserve"> </w:t>
      </w:r>
      <w:r>
        <w:rPr>
          <w:u w:val="single"/>
        </w:rPr>
        <w:t xml:space="preserve"> </w:t>
      </w:r>
      <w:r>
        <w:rPr>
          <w:u w:val="single"/>
        </w:rPr>
        <w:t xml:space="preserve">FUNDING.  The commissioners court of a county electing to participate in the program may solicit and accept bequests, donations, grants, and other money, goods, and services from federal, state, and private sources to finance and further the goals of the program but may not levy any tax or receive any legislative appropriation to fund such participation.  The state is not liable for debts or other obligations incurred by a county in implementing or planning to implement the program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