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86R482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410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franchise tax credit for ad valorem taxes paid by a taxable entity on certain inventory.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171, Tax Code, is amended by adding Subchapter N to read as follows:</w:t>
      </w:r>
    </w:p>
    <w:p w:rsidR="003F3435" w:rsidRDefault="0032493E">
      <w:pPr>
        <w:spacing w:line="480" w:lineRule="auto"/>
        <w:jc w:val="center"/>
      </w:pPr>
      <w:r>
        <w:rPr>
          <w:u w:val="single"/>
        </w:rPr>
        <w:t xml:space="preserve">SUBCHAPTER N.  TAX CREDIT FOR BUSINESS AD VALOREM TAX PAYMENTS ON INVENTORY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"Qualified entity" means a taxable entity that pays ad valorem taxes on qualified inventory owned by the entity and located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 inventory" means tangible personal property held for sale at retail other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dealer's motor vehicle inventory as defined by Section 23.121;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dealer's heavy equipment inventory as defined by Section 23.1241;</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dealer's vessel and outboard motor inventory as defined by Section 23.124;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retail manufactured housing inventory as defined by Section 23.127.</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171.702.</w:t>
      </w:r>
      <w:r>
        <w:rPr>
          <w:u w:val="single"/>
        </w:rPr>
        <w:t xml:space="preserve"> </w:t>
      </w:r>
      <w:r>
        <w:rPr>
          <w:u w:val="single"/>
        </w:rPr>
        <w:t xml:space="preserve"> </w:t>
      </w:r>
      <w:r>
        <w:rPr>
          <w:u w:val="single"/>
        </w:rPr>
        <w:t xml:space="preserve">ELIGIBILITY FOR CREDIT.  A qualified entity is eligible to apply for a credit in the amount and under the conditions and limitations provided by this subchapter against the tax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171.703.</w:t>
      </w:r>
      <w:r>
        <w:rPr>
          <w:u w:val="single"/>
        </w:rPr>
        <w:t xml:space="preserve"> </w:t>
      </w:r>
      <w:r>
        <w:rPr>
          <w:u w:val="single"/>
        </w:rPr>
        <w:t xml:space="preserve"> </w:t>
      </w:r>
      <w:r>
        <w:rPr>
          <w:u w:val="single"/>
        </w:rPr>
        <w:t xml:space="preserve">AMOUNT OF CREDIT; LIMITATIONS. </w:t>
      </w:r>
      <w:r>
        <w:rPr>
          <w:u w:val="single"/>
        </w:rPr>
        <w:t xml:space="preserve"> </w:t>
      </w:r>
      <w:r>
        <w:rPr>
          <w:u w:val="single"/>
        </w:rPr>
        <w:t xml:space="preserve">(a) </w:t>
      </w:r>
      <w:r>
        <w:rPr>
          <w:u w:val="single"/>
        </w:rPr>
        <w:t xml:space="preserve"> </w:t>
      </w:r>
      <w:r>
        <w:rPr>
          <w:u w:val="single"/>
        </w:rPr>
        <w:t xml:space="preserve">The total amount of the credit under this subchapter is equal to the amount of the ad valorem taxes paid by the qualified entity during the period on which a report is based that are derived from the taxable value of qualified inventory owned by the entity and located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credit claimed for a report, including the amount of any carryforward under Section 171.704, may not exceed the amount of franchise tax due for the report after any other applicable tax credits.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171.704.</w:t>
      </w:r>
      <w:r>
        <w:rPr>
          <w:u w:val="single"/>
        </w:rPr>
        <w:t xml:space="preserve"> </w:t>
      </w:r>
      <w:r>
        <w:rPr>
          <w:u w:val="single"/>
        </w:rPr>
        <w:t xml:space="preserve"> </w:t>
      </w:r>
      <w:r>
        <w:rPr>
          <w:u w:val="single"/>
        </w:rPr>
        <w:t xml:space="preserve">CARRYFORWARD.  (a)  If a qualified entity is eligible for a credit that exceeds the limitation under Section 171.703(b), the entity may carry the unused credit forward for not more than three consecutive reports.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carryforward is considered the remaining portion of a credit that cannot be claimed in the current year because of the limitation under Section 171.703(b).  A carryforward is added to the next year's installment of the credit in determining the limitation for that year.  A credit carryforward from a previous report is considered to be used before the current year installment.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171.705.</w:t>
      </w:r>
      <w:r>
        <w:rPr>
          <w:u w:val="single"/>
        </w:rPr>
        <w:t xml:space="preserve"> </w:t>
      </w:r>
      <w:r>
        <w:rPr>
          <w:u w:val="single"/>
        </w:rPr>
        <w:t xml:space="preserve"> </w:t>
      </w:r>
      <w:r>
        <w:rPr>
          <w:u w:val="single"/>
        </w:rPr>
        <w:t xml:space="preserve">APPLICATION FOR CREDIT.  (a)  A qualified entity must apply for a credit under this subchapter on or with the report for the period for which the credit is claimed.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qualified entity shall file with a report on which the credit is claimed any information required by the comptroller to sufficiently demonstrate that the entity is eligible for the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burden of establishing eligibility for and the value of the credit is on the qualified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171.706.</w:t>
      </w:r>
      <w:r>
        <w:rPr>
          <w:u w:val="single"/>
        </w:rPr>
        <w:t xml:space="preserve"> </w:t>
      </w:r>
      <w:r>
        <w:rPr>
          <w:u w:val="single"/>
        </w:rPr>
        <w:t xml:space="preserve"> </w:t>
      </w:r>
      <w:r>
        <w:rPr>
          <w:u w:val="single"/>
        </w:rPr>
        <w:t xml:space="preserve">SALE OR ASSIGNMENT OF CREDIT.  (a)  A qualified entity that earns a credit under this subchapter may sell or assign all or part of the credit, and any entity to which all or part of the credit is sold or assigned may sell or assign all or part of the credit to another entity. </w:t>
      </w:r>
      <w:r>
        <w:rPr>
          <w:u w:val="single"/>
        </w:rPr>
        <w:t xml:space="preserve"> </w:t>
      </w:r>
      <w:r>
        <w:rPr>
          <w:u w:val="single"/>
        </w:rPr>
        <w:t xml:space="preserve">There is no limit on the total number of transactions for the sale or assignment of all or part of the total credit authorized under this subchapter, however, collectively all transferred and retained credits claimed for a period are subject to the maximum total limitations provided by Section 171.703.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that sells or assigns a credit under this section and the entity to which the credit is sold or assigned shall jointly submit written notice of the sale or assignment to the comptroller on a form promulgated by the comptroller not later than the 30th day after the date of the sale or assignment.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of the sale or assignment;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credit sold or assigned;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names and federal tax identification numbers of the entity that sold or assigned the credit or part of the credit and the entity to which the credit or part of the credit was sold or assigned;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the credit owned by the selling or assigning entity before the sale or assignment, and the amount the selling or assigning entity retained, if any, after the sale or assignment.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sale or assignment of a credit in accordance with this section does not extend the period for which a credit may be carried forward and does not increase the total amount of the credit that may be claimed.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171.707.</w:t>
      </w:r>
      <w:r>
        <w:rPr>
          <w:u w:val="single"/>
        </w:rPr>
        <w:t xml:space="preserve"> </w:t>
      </w:r>
      <w:r>
        <w:rPr>
          <w:u w:val="single"/>
        </w:rPr>
        <w:t xml:space="preserve"> </w:t>
      </w:r>
      <w:r>
        <w:rPr>
          <w:u w:val="single"/>
        </w:rPr>
        <w:t xml:space="preserve">RULES.  The comptroller shall adopt rules necessary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report originally due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