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based on the ad valorem taxes paid by a taxable entity on certain inventory.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pays ad valorem taxes on retail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bank, savings bank, savings and loan association, credit union, or other finance company;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was not engaged in the business in this state of selling retail inventory on January 1 of the preceding tax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 other than a sale at wholesale or a sale to another retailer.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(a)  Subject to Subsection (c), the total amount of the credit under this subchapter is equal to the difference between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ad valorem taxes paid by the qualified entity during the period on which a report is based that are derived from the taxable value of the entity's retail inventory;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ad valorem taxes the entity would have paid during the period described by Subdivision (1) on the taxable value of the entity's retail inventory if the taxable value of that inventory were an amount determined by dividing the entity's total annual sales, as reported to the comptroller under Section 171.705, by 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request assistance from the chief appraiser of the appraisal district in which a qualified entity's retail inventory is located to determine the amount described by Subsection (a)(2).  The chief appraiser shall provide the requested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entity is not eligible for a credit under this subchapter for a year in which the amount described by Subsection (a)(2) is greater than the amount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171.703(d),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171.703(d).  A carryforward is added to the next year's credit in determining the limitation for that year.  A credit carryforward from a previous report is considered to be used before the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qualified entity must use the form in applying for the credit.  The application must require the entity to state the entity's total annual sales for the 12-month period for which the credit is claimed.  The comptroller may require the entity to include any other information the comptroller determines is necessary to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request permission to examine the books and records of a qualified entity in the manner provided by this subsection.  A request made under this subsection must be made in writing, be delivered personally to the custodian of the records at a location at which the entity conducts business, provide a period of not less than 15 days for the person to respond to the request, and state that the person to whom the request is addressed has the right to seek judicial relief from compliance with the request.  In a request made under this subsection, the comptroller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comptroller to determine if the entity is eligible for the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included in the entity's application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limitation under Section 171.703(d).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