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86R6799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23rd Judicial District and the creation of the 461st Judicial District composed of Brazoria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 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(b)</w:t>
      </w:r>
      <w:r xml:space="preserve">
        <w:t> </w:t>
      </w:r>
      <w:r xml:space="preserve">
        <w:t> </w:t>
      </w:r>
      <w:r>
        <w:t xml:space="preserve">When a case is transferred as provided by Subsection (a)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(c)</w:t>
      </w:r>
      <w:r xml:space="preserve">
        <w:t> </w:t>
      </w:r>
      <w:r xml:space="preserve">
        <w:t> </w:t>
      </w:r>
      <w:r>
        <w:t xml:space="preserve">The 461st Judicial District is created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