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86R4918 ADM-F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418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the death penalty to a capital offense committed by a person with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 Title 1, Code of Criminal Procedure, is amended by adding Chapter 46D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46D. CAPITAL CASE:  EFFECT OF INTELLECTUAL DISABILITY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46D.001.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"Adaptive behavior" means the effectiveness with or degree to which a person meets generally recognized standards of personal independence and social responsibility by using learned conceptual, social, and practical skills in everyday life.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"Intellectual disability" means significantly below average general intellectual functioning that is concurrent with significant deficits in adaptive behavior and originates during the developmental period.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"Significantly below average general intellectual functioning" refers to a measured intelligence quotient on a standardized psychometric instrument of two or more standard deviations below the age-group mean for the test used, considering the standard error of measurement applicable to the instrument.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46D.002.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RESTRICTION ON DEATH PENALTY.  A defendant who is a person with an intellectual disability may not be sentenced to death.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46D.003.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HEARING; DETERMINATION.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for a defendant in a capital case, not later than the 30th day before the date trial is scheduled to begin, may request in writing that the judge hearing the case hold a hearing to determine whether the defendant is a person with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request under Subsection (a) must be accompanied by evidence supporting the claim that the defendant is a person with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receipt of a request under this article, if the judge determines that the request was timely filed and was accompanied by evidence sufficient to support a finding that the defendant is a person with an intellectual disability, the judge shall hold a hearing to determine the issue.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(c), evidence sufficient to support a finding that the defendant is a person with an intellectual disability may consist solely of a representation from a credible source that the defendant may be a person with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46D.004.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APPOINTMENT OF DISINTERESTED EXPERT.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request of either party or on the judge's own motion, the judge shall appoint a disinterested expert experienced and qualified in the field of diagnosing intellectual disabilities to examine the defendant and determine whether the defendant is a person with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judge may order the defendant to submit to an examination by an expert appointed under this article.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examination described by this article must be narrowly tailored to determine whether the defendant has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46D.005.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BURDEN OF PROOF.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a hearing under this chapter, the burden is on the defendant to prove by a preponderance of the evidence that the defendant is a person with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 may offer evidence to rebut evidence offered by the defendant.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46D.006.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PREVAILING MEDICAL STANDARDS.  Evidence offered by either party for purposes of a hearing under this chapter must be consistent with prevailing medical standards for the diagnosis of intellectual disabilities.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Art.</w:t>
      </w:r>
      <w:r>
        <w:rPr>
          <w:u w:val="single"/>
        </w:rPr>
        <w:t xml:space="preserve"> </w:t>
      </w:r>
      <w:r>
        <w:rPr>
          <w:u w:val="single"/>
        </w:rPr>
        <w:t xml:space="preserve">46D.007.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FINDING OF FACT RELATED TO INTELLECTUAL DISABILITY.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120th day after the conclusion of a hearing under this chapter, the judge shall issue a written finding of fact as to whether the defendant is a person with an intellectual disability.  The finding of fact must explain the judge's reasoning and cite evidence in the record.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judge finds that the defendant is a person with an intellectual disability and the defendant is subsequently convicted of a capital offense, Article 37.071 does not apply to the defendant, and the judge shall sentence the defendant to imprisonment in the Texas Department of Criminal Justice for life without parole.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judge does not find that the defendant is a person with an intellectual disability, the judge shall conduct the trial of the offense in the same manner as if a hearing under this chapter had not been held.  At the trial: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jury may not be informed of the fact that the judge held a hearing under this article;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defendant may present evidence of intellectual disability as otherwise permitted by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46D, Code of Criminal Procedure, as added by this Act, applies only to a trial that commences on or after the effective date of this Act, regardless of whether the alleged offense was committed before, on, or after that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