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86R4918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death penalty to a capital offense committed by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 Title 1, Code of Criminal Procedure, is amended by adding Chapter 46D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46D. CAPITAL CASE:  EFFECT OF INTELLECTUAL DISABILITY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"Adaptive behavior" means the effectiveness with or degree to which a person meets generally recognized standards of personal independence and social responsibility by using learned conceptual, social, and practical skills in everyday life.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"Intellectual disability" means significantly below average general intellectual functioning that is concurrent with significant deficits in adaptive behavior and originates during the developmental period.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"Significantly below average general intellectual functioning" refers to a measured intelligence quotient on a standardized psychometric instrument of two or more standard deviations below the age-group mean for the test used, considering the standard error of measurement applicable to the instrument.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DEATH PENALTY.  A defendant who is a person with an intellectual disability may not be sentenced to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HEARING; DETERMINATION.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for a defendant in a capital case, not later than the 30th day before the date trial is scheduled to begin, may request in writing that the judge hearing the case hold a hearing to determine whether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under Subsection (a) must be accompanied by evidence supporting the claim that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receipt of a request under this article, if the judge determines that the request was timely filed and was accompanied by evidence sufficient to support a finding that the defendant is a person with an intellectual disability, the judge shall hold a hearing to determine the issue.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(c), evidence sufficient to support a finding that the defendant is a person with an intellectual disability may consist solely of a representation from a credible source that the defendant may be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APPOINTMENT OF DISINTERESTED EXPERT.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request of either party or on the judge's own motion, the judge shall appoint a disinterested expert experienced and qualified in the field of diagnosing intellectual disabilities to examine the defendant and determine whether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judge may order the defendant to submit to an examination by an expert appointed under this article.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examination described by this article must be narrowly tailored to determine whether the defendant has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OF PROOF.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 hearing under this chapter, the burden is on the defendant to prove by a preponderance of the evidence that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may offer evidence to rebut evidence offered by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PREVAILING MEDICAL STANDARDS.  Evidence offered by either party for purposes of a hearing under this chapter must be consistent with prevailing medical standards for the diagnosis of intellectual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FINDING OF FACT RELATED TO INTELLECTUAL DISABILITY.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120th day after the conclusion of a hearing under this chapter, the judge shall issue a written finding of fact as to whether the defendant is a person with an intellectual disability.  The finding of fact must explain the judge's reasoning and cite evidence in the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judge finds that the defendant is a person with an intellectual disability and the defendant is subsequently convicted of a capital offense, Article 37.071 does not apply to the defendant, and the judge shall sentence the defendant to imprisonment in the Texas Department of Criminal Justice for life without parole.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judge does not find that the defendant is a person with an intellectual disability, the judge shall conduct the trial of the offense in the same manner as if a hearing under this chapter had not been held.  At the trial: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jury may not be informed of the fact that the judge held a hearing under this article;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defendant may present evidence of intellectual disability as otherwise permitted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46D, Code of Criminal Procedure, as added by this Act, applies only to a trial that commences on or after the effective date of this Act, regardless of whether the alleged offense was committed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