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Buckingham,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420</w:t>
      </w:r>
    </w:p>
    <w:p w:rsidR="003F3435" w:rsidRDefault="0032493E">
      <w:pPr>
        <w:ind w:firstLine="720"/>
        <w:jc w:val="both"/>
      </w:pPr>
      <w:r>
        <w:t xml:space="preserve">(Thompson of Harris)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dispenser requirements for refilling prescriptions for certain controlled substances.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481.0765, Health and Safety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dispenser is not subject to the requirements of Section 481.0764(a) if the dispenser is refilling a prescription.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