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23,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State Affairs;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the Teacher Retirement System of Texas to invest in certain hedge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825.3012(b),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provision of Section 825.301, not more than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five</w:t>
      </w:r>
      <w:r>
        <w:t xml:space="preserve">] percent of the value of the total investment portfolio of the retirement system may be invested in hedge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825.3012(b-1),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