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426</w:t>
      </w:r>
    </w:p>
    <w:p w:rsidR="003F3435" w:rsidRDefault="0032493E">
      <w:pPr>
        <w:ind w:firstLine="720"/>
        <w:jc w:val="both"/>
      </w:pPr>
      <w:r>
        <w:t xml:space="preserve">(González of El Paso, Wu)</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426:</w:t>
      </w: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C.S.S.B.</w:t>
      </w:r>
      <w:r xml:space="preserve">
        <w:t> </w:t>
      </w:r>
      <w:r>
        <w:t xml:space="preserve">No.</w:t>
      </w:r>
      <w:r xml:space="preserve">
        <w:t> </w:t>
      </w:r>
      <w:r>
        <w:t xml:space="preserve">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public school counselors' work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 Education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each school district shall adopt a policy that specifies a percentage of a school counselor's total work time that the school counselor is required to spend on duties that are components of a counseling program developed under Section 33.005.  For purposes of this subsection, time spent in administering assessment instruments or providing other assistance in connection with assessment instruments, except time spent in interpreting data from assessment instruments, is not considered time spent on counseling.  Each school in the district shall implement the policy.  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may not include a provision in an employment contract with a school counselor under Chapter 21 that conflicts with the policy required by Subsection (d) or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Each school district shall implement a policy adopted under Section 33.006(d), Education Code, as added by this Act,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33.006(e), Education Code, as added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