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86R6763 SRS-F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Lucio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members of a school district's local school health advisory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28.004(d),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board of trustees shall appoint at least five members to the local school health advisory council. </w:t>
      </w:r>
      <w:r>
        <w:t xml:space="preserve"> </w:t>
      </w:r>
      <w:r>
        <w:t xml:space="preserve">A majority of the members must be persons who are parents of students enrolled in the district and who are not employed by the district. </w:t>
      </w:r>
      <w:r>
        <w:t xml:space="preserve"> </w:t>
      </w:r>
      <w:r>
        <w:t xml:space="preserve">One of those members shall serve as chair or co-chair of the council. </w:t>
      </w:r>
      <w:r>
        <w:t xml:space="preserve"> </w:t>
      </w:r>
      <w:r>
        <w:t xml:space="preserve">The board of trustees also may appoint one or more persons from each of the following groups or a representative from a group other than a group specified under this subsection: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public school teachers;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public school administrators;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district students;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health care professionals;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business community;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law enforcement;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senior citizens;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the clergy;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nonprofit health organizations;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local domestic violence programs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nutritionists and registered dietitians;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local public health department officials or the designees of local public health departments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