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86R6126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using a single intake form for state and federal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 and</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The commission and the division must determine whether the Federal Emergency Management Agency and other appropriate state and federal agencies will accept the single intake form.</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