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86R6765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comprehensive plan for increasing and improving the workforce in this state to serve persons with mental health and substance use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COMPREHENSIVE WORKFORCE PLAN FOR MENTAL HEALTH AND SUBSTANCE USE.  (a)  The statewide behavioral health coordinating council, under the direction of the commission, shall develop and the commission shall implement a comprehensive plan to increase and improve the workforce in this state to serve persons with mental health and substance use issues.  In developing the plan, the council shall analyze and consider available studies, reports, and recommendations regarding that segment of the workforce in this state or elsewhere.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strategy and timeline for implementing the plan, including short-term, medium-term, and long-term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for monitoring the implementation of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evaluating the outcomes of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statewide behavioral health coordinating council shall develop and the Health and Human Services Commission shall begin implementing the plan required under Section 531.02253,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