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86R456 SMH-F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434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effect of a sale of property on the tax lien on the property to secure the payment of ad valorem taxes, penalties, and interest imposed on the property as a result of the addition to the appraisal roll of property or appraised value that was erroneously exempted in a prior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11.43, Tax Code, is amended by adding Subsection (i-1)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(i-1)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chief appraiser adds property or appraised value that was erroneously exempted in a prior year to the appraisal roll as required by Subsection (i), a tax lien may not be enforced against the property to secure the payment of any taxes, penalties, or interest imposed for that year on the property as a result of the addition of the property or appraised value if, at any time after January 1 of that year, the property was sold in an arm's-length transaction to a person who was not related to the seller within the first degree by consanguinity or affinity, as determined under Chapter 573,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on the date on which the constitutional amendment proposed by the 86th Legislature, Regular Session, 2019, relating to the effect of a sale of property on the tax lien on the property to secure the payment of ad valorem taxes, penalties, and interest imposed on the property as a result of the addition to the appraisal roll of property or property value that was erroneously exempted in a prior year is approved by the voters.  If that amendment is not approved by the voters, this Act has no effect.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434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