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86R456 SMH-F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effect of a sale of property on the tax lien on the property to secure the payment of ad valorem taxes, penalties, and interest imposed on the property as a result of the addition to the appraisal roll of property or appraised value that was erroneously exempted in a prior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11.43, Tax Code, is amended by adding Subsection (i-1)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chief appraiser adds property or appraised value that was erroneously exempted in a prior year to the appraisal roll as required by Subsection (i), a tax lien may not be enforced against the property to secure the payment of any taxes, penalties, or interest imposed for that year on the property as a result of the addition of the property or appraised value if, at any time after January 1 of that year, the property was sold in an arm's-length transaction to a person who was not related to the seller within the first degree by consanguinity or affinity, as determined under Chapter 573,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date on which the constitutional amendment proposed by the 86th Legislature, Regular Session, 2019, relating to the effect of a sale of property on the tax lien on the property to secure the payment of ad valorem taxes, penalties, and interest imposed on the property as a result of the addition to the appraisal roll of property or property value that was erroneously exempted in a prior year is approved by the voters.  If that amendment is not approved by the voters, this Act has no effect.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