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435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recommendations by local school health advisory councils regarding opioid addiction and abuse education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28.004(c),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local school health advisory council's duties include recommending: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number of hours of instruction to be provided in health education;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policies, procedures, strategies, and curriculum appropriate for specific grade levels designed to prevent obesity, cardiovascular disease, Type 2 diabetes, and mental health concerns through coordination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health education;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physical education and physical activity;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nutrition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parental involvement;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instruction to prevent the use of e-cigarettes, as defined by Section 161.081, Health and Safety Code, and tobacco;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school health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counseling and guidance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a safe and healthy school environment;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school employee wellness;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appropriate grade levels and methods of instruction for human sexuality instruction;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strategies for integrating the curriculum components specified by Subdivision (2) with the following elements in a coordinated school health program for the district: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school health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counseling and guidance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safe and healthy school environment;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school employee wellness;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if feasible, joint use agreements or strategies for collaboration between the school district and community organizations or agencies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appropriate grade levels and curriculum for instruction regarding opioid addiction and abuse and methods of administering an opioid antagonist, as defined by Section 483.101, Health and Safety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435 passed the Senate on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435 passed the House on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140, Nays</w:t>
      </w:r>
      <w:r xml:space="preserve">
        <w:t> </w:t>
      </w:r>
      <w:r>
        <w:t xml:space="preserve">1, two</w:t>
      </w:r>
      <w:r xml:space="preserve">
        <w:t> </w:t>
      </w:r>
      <w:r>
        <w:t xml:space="preserve">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