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2493E">
      <w:pPr>
        <w:ind w:firstLine="720"/>
        <w:jc w:val="both"/>
      </w:pPr>
      <w:r>
        <w:t xml:space="preserve">(Price, Sheffield, Minjarez, Rose, VanDeaver,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