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436</w:t>
      </w:r>
    </w:p>
    <w:p w:rsidR="003F3435" w:rsidRDefault="0032493E">
      <w:pPr>
        <w:ind w:firstLine="720"/>
        <w:jc w:val="both"/>
      </w:pPr>
      <w:r>
        <w:t xml:space="preserve">(Price, Rose, Minjarez, Sheffield, VanDeaver,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w:t>
      </w:r>
      <w:r>
        <w:rPr>
          <w:u w:val="single"/>
        </w:rPr>
        <w:t xml:space="preserve">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w:t>
      </w:r>
      <w:r>
        <w:rPr>
          <w:u w:val="single"/>
        </w:rPr>
        <w:t xml:space="preserve"> </w:t>
      </w:r>
      <w:r>
        <w:rPr>
          <w:u w:val="single"/>
        </w:rPr>
        <w:t xml:space="preserve">The pilot program must conclude not later than March 1, 2020.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