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86R4527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Birdwell, 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discrimination by a state agency against an applicant for or holder of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Sections 57.003 and 57.004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RULES OR POLICIES PROHIBITED.  (a) </w:t>
      </w:r>
      <w:r>
        <w:rPr>
          <w:u w:val="single"/>
        </w:rPr>
        <w:t xml:space="preserve"> </w:t>
      </w:r>
      <w:r>
        <w:rPr>
          <w:u w:val="single"/>
        </w:rPr>
        <w:t xml:space="preserve">A state agency that issues a license or otherwise regulates a business, occupation, or profession may not adopt any rule, regulation, or policy or impose a penalty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limits an applicant's ability to obtain, maintain, or renew a license based on a sincerely held religious belief of the applicant;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burdens an applicant's or a license holder's: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 exercise of religion, regardless of whether the burden is the result of a rule generally applicable to all applicants or license holders;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freedom of speech regarding a sincerely held religious belief;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membership in any religious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licensing or regulation of peace officers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prohibit a state agency from taking any action to ensure that the standard of care or practice for the applicable business, occupation, or profession is satisfied.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may not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license holder to refuse to provide a medical service within the scope of the person's license that is necessary to prevent death or imminent serious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any right, privilege, or protection granted to any person under the constitution and laws of this state and the United States.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OR JUDICIAL RELIEF.  (a)  A person may assert that a state agency rule, regulation, or policy, or a penalty imposed by the agency, violates Section 57.003 as a defense in an administrative hearing or as a claim or defense in a judicial proceeding under Chapter 37, Civil Practice and Remedies Code, except that the person may not assert the violation as a defense to: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allegation of sexual misconduct;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prosecution of an offense.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bring an action for injunctive relief against a violation of Section 57.003.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