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86R4757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447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expressive activities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51.9315.</w:t>
      </w:r>
      <w:r>
        <w:rPr>
          <w:u w:val="single"/>
        </w:rPr>
        <w:t xml:space="preserve"> </w:t>
      </w:r>
      <w:r>
        <w:rPr>
          <w:u w:val="single"/>
        </w:rPr>
        <w:t xml:space="preserve"> </w:t>
      </w:r>
      <w:r>
        <w:rPr>
          <w:u w:val="single"/>
        </w:rPr>
        <w:t xml:space="preserve">PROTECTED EXPRESSION ON CAMPUS.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"Expressive activities" means any speech or expressive conduct protected by the First Amendment to the United States Constitution or Section 8, Article I, Texas Constitution, and includes assemblies, protests, speeches, the distribution of written material, the carrying of signs, and the circulation of petitions.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any area on campus as a free speech zone or otherwise create policies implying that its students'</w:t>
      </w:r>
      <w:r>
        <w:rPr>
          <w:u w:val="single"/>
        </w:rPr>
        <w:t xml:space="preserve"> </w:t>
      </w:r>
      <w:r>
        <w:rPr>
          <w:u w:val="single"/>
        </w:rPr>
        <w:t xml:space="preserve">expressive activities are restricted to particular areas of campus;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 the right of students to engage in expression in a traditional public forum.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an institution of higher education may adopt a policy that imposes reasonable restrictions on the time, place, and manner of expressive activities in the common outdoor areas of the institution's campus if those restrictions: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narrowly tailored to serve a significant institutional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 clear, published, content-neutral, and viewpoint-neutral criteria;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ample alternative means of expression.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institution of higher education shall adopt a policy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preventing a student from engaging in expressive activities because of the content or message of the expressive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prohibits any institution official or employee from preventing or disinviting a speaker from speaking at the institution for any reason other than a reasonable concern regarding a legitimate risk to campus safety;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establishes disciplinary sanctions for students or employees who persist in unduly interfering with the expressive activities of others on campus after being asked by an institution official or employee to stop the interference.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