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certain economic development corporations to file a certain report with the comptroller.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502.151(a),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February</w:t>
      </w:r>
      <w:r>
        <w:t xml:space="preserve">] 1 of each year, the board of directors of a corporation shall submit a report to the comptroller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corporation's primary economic development objectives;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corporation's total revenue during the preceding fiscal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corporation's total expenditures during the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corporation's total expenditures during the preceding fiscal year in each of the following categories: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administration;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marketing or promotion;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direct business incentives;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job training;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debt service;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capital costs;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affordable housing;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payments to taxing units, including school districts;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the corporation's capital assets, including land and buildings;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information the comptroller requires to determine the use of the sales and use tax imposed under Chapter 504 or 505 to encourage economic development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450 passed the Senate on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450 passed the House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146,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