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451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permissible uses of the bilingual education allotment provided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district's bilingual education or special language allocation may be used only for program and student evaluation, instructional materials and equipment, staff development, supplemental staff expenses, salary </w:t>
      </w:r>
      <w:r>
        <w:rPr>
          <w:u w:val="single"/>
        </w:rPr>
        <w:t xml:space="preserve">or salary</w:t>
      </w:r>
      <w:r>
        <w:t xml:space="preserve"> supplements for teachers, and other supplies required for quality instruction and smaller class size.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