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86R3360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458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training requirements for a member of the board of trustees and the superintendent of an independent school district regarding sexual abuse, human trafficking, and other maltreatment of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11.159, Education Code, is amended by amending Subsection (c) and adding Subsections (c-1), (c-2), and (e) to read as follows:</w:t>
      </w:r>
    </w:p>
    <w:p w:rsidR="003F3435" w:rsidRDefault="0032493E">
      <w:pPr>
        <w:spacing w:line="480" w:lineRule="auto"/>
        <w:ind w:firstLine="720"/>
        <w:jc w:val="both"/>
      </w:pPr>
      <w:r>
        <w:t xml:space="preserve">(c)</w:t>
      </w:r>
      <w:r xml:space="preserve">
        <w:t> </w:t>
      </w:r>
      <w:r xml:space="preserve">
        <w:t> </w:t>
      </w:r>
      <w:r>
        <w:t xml:space="preserve">The State Board of Education shall require a trustee to complete </w:t>
      </w:r>
      <w:r>
        <w:rPr>
          <w:u w:val="single"/>
        </w:rPr>
        <w:t xml:space="preserve">every two years</w:t>
      </w:r>
      <w:r>
        <w:t xml:space="preserve"> at least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three hours of training [</w:t>
      </w:r>
      <w:r>
        <w:rPr>
          <w:strike/>
        </w:rPr>
        <w:t xml:space="preserve">every two years</w:t>
      </w:r>
      <w:r>
        <w:t xml:space="preserve">] on evaluating student academic performance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hour of training on identifying and reporting potential victims of sexual abuse, human trafficking, and other maltreatment of children</w:t>
      </w:r>
      <w:r>
        <w:t xml:space="preserve">.</w:t>
      </w:r>
    </w:p>
    <w:p w:rsidR="003F3435" w:rsidRDefault="0032493E">
      <w:pPr>
        <w:spacing w:line="480" w:lineRule="auto"/>
        <w:ind w:firstLine="720"/>
        <w:jc w:val="both"/>
      </w:pPr>
      <w:r>
        <w:rPr>
          <w:u w:val="single"/>
        </w:rPr>
        <w:t xml:space="preserve">(c-1)</w:t>
      </w:r>
      <w:r xml:space="preserve">
        <w:t> </w:t>
      </w:r>
      <w:r xml:space="preserve">
        <w:t> </w:t>
      </w:r>
      <w:r>
        <w:t xml:space="preserve">The training </w:t>
      </w:r>
      <w:r>
        <w:rPr>
          <w:u w:val="single"/>
        </w:rPr>
        <w:t xml:space="preserve">required by Subsection (c)(1)</w:t>
      </w:r>
      <w:r>
        <w:t xml:space="preserve"> must be research-based and designed to support the oversight role of the board of trustees under Section 11.1515.</w:t>
      </w:r>
    </w:p>
    <w:p w:rsidR="003F3435" w:rsidRDefault="0032493E">
      <w:pPr>
        <w:spacing w:line="480" w:lineRule="auto"/>
        <w:ind w:firstLine="720"/>
        <w:jc w:val="both"/>
      </w:pPr>
      <w:r>
        <w:rPr>
          <w:u w:val="single"/>
        </w:rPr>
        <w:t xml:space="preserve">(c-2)</w:t>
      </w:r>
      <w:r xml:space="preserve">
        <w:t> </w:t>
      </w:r>
      <w:r xml:space="preserve">
        <w:t> </w:t>
      </w:r>
      <w:r>
        <w:t xml:space="preserve">A candidate for trustee may complete the training </w:t>
      </w:r>
      <w:r>
        <w:rPr>
          <w:u w:val="single"/>
        </w:rPr>
        <w:t xml:space="preserve">required by Subsection (c)</w:t>
      </w:r>
      <w:r>
        <w:t xml:space="preserve"> up to one year before the candidate is elected.</w:t>
      </w:r>
      <w:r xml:space="preserve">
        <w:t> </w:t>
      </w:r>
      <w:r xml:space="preserve">
        <w:t> </w:t>
      </w:r>
      <w:r>
        <w:t xml:space="preserve">A new trustee shall complete the training within 120 days after the date of the trustee's election or appointment.</w:t>
      </w:r>
      <w:r xml:space="preserve">
        <w:t> </w:t>
      </w:r>
      <w:r xml:space="preserve">
        <w:t> </w:t>
      </w:r>
      <w:r>
        <w:t xml:space="preserve">A returning trustee shall complete the training by the second anniversary of the completion of the trustee's previous training.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For purposes of this section, "other maltreatment" has the meaning assigned by Section 42.002,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 Education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Continuing education requirements for a superintendent must include at least 2-1/2 hours of training every five years on identifying and reporting potential victims of sexual abuse, human trafficking, and other maltreatment of children. </w:t>
      </w:r>
      <w:r>
        <w:rPr>
          <w:u w:val="single"/>
        </w:rPr>
        <w:t xml:space="preserve"> </w:t>
      </w:r>
      <w:r>
        <w:rPr>
          <w:u w:val="single"/>
        </w:rPr>
        <w:t xml:space="preserve">For purposes of this subsection, "other maltreatment" has the meaning assigned by Section 42.002,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superintendent subject to continuing education requirements immediately before the effective date of this Act is not required to comply with the continuing education requirements described by Section 21.054(h), Education Code, as added by this Act, for any continuing education requirements period that ends before January 1, 2021.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