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Creighton</w:t>
      </w:r>
      <w:r xml:space="preserve">
        <w:tab wTab="150" tlc="none" cTlc="0"/>
      </w:r>
      <w:r>
        <w:t xml:space="preserve">S.B.</w:t>
      </w:r>
      <w:r xml:space="preserve">
        <w:t> </w:t>
      </w:r>
      <w:r>
        <w:t xml:space="preserve">No.</w:t>
      </w:r>
      <w:r xml:space="preserve">
        <w:t> </w:t>
      </w:r>
      <w:r>
        <w:t xml:space="preserve">462</w:t>
      </w:r>
    </w:p>
    <w:p w:rsidR="003F3435" w:rsidRDefault="0032493E">
      <w:pPr>
        <w:jc w:val="both"/>
      </w:pPr>
      <w:r xml:space="preserve">
        <w:t> </w:t>
      </w:r>
      <w:r xml:space="preserve">
        <w:t> </w:t>
      </w:r>
      <w:r xml:space="preserve">
        <w:t> </w:t>
      </w:r>
      <w:r xml:space="preserve">
        <w:t> </w:t>
      </w:r>
      <w:r xml:space="preserve">
        <w:t> </w:t>
      </w:r>
      <w:r>
        <w:t xml:space="preserve">Kolkhorst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 propositions authorizing certain political subdivisions to issue debt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1251, Government Code, is amended by designating Sections 1251.001, 1251.002, 1251.003, 1251.004, 1251.005, and 1251.006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PROVISIONS RELATING GENERALLY TO COUNTY AND MUNICIPAL BOND ELECTIONS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Chapter 1251, Government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BALLOT FOR BONDS ISSUED BY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"Debt obligation" means an issued public security, as defined by Section 1201.002, that is secured by ad valorem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CONTENTS OF BALLOT PROPOSITION.  The proposition submitted for an election to authorize a political subdivision to issue debt obligations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for which the debt obligations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amount of the debt obligations to be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taxes sufficient to pay the annual principal of and interest on the debt obligations may be imposed;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aggregate amount of the outstanding principal of the political subdivision's debt obligations as of the beginning of the political subdivision's fiscal year in which the election is ordered;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 valorem debt service tax rate for the political subdivision at the time the election is ordered, expressed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per $100 valuation of taxable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political subdivision's adopted tax rate as of the beginning of the political subdivision's fiscal year in which the election is ordered.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1251.053.</w:t>
      </w:r>
      <w:r>
        <w:rPr>
          <w:u w:val="single"/>
        </w:rPr>
        <w:t xml:space="preserve"> </w:t>
      </w:r>
      <w:r>
        <w:rPr>
          <w:u w:val="single"/>
        </w:rPr>
        <w:t xml:space="preserve"> </w:t>
      </w:r>
      <w:r>
        <w:rPr>
          <w:u w:val="single"/>
        </w:rPr>
        <w:t xml:space="preserve">FORM OF BALLOT.  The secretary of state may adopt a form of the ballot for an election held under this subchapter. </w:t>
      </w:r>
      <w:r>
        <w:rPr>
          <w:u w:val="single"/>
        </w:rPr>
        <w:t xml:space="preserve"> </w:t>
      </w:r>
      <w:r>
        <w:rPr>
          <w:u w:val="single"/>
        </w:rPr>
        <w:t xml:space="preserve">A political subdivision is not required to use any adopted form.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1251.052, Government Code, as added by this Act, applies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