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86R3527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 ballot proposition for a proposed municipal charter amendment.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9.004, Local Government Code, is amended by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ballot proposition for a proposed charter amendment must substantially submit the question with such definiteness and certainty that voters are not misled.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9, Local Government Code, is amended by adding Section 9.0045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9.0045.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MANDAMUS ACTION FOR PROPOSED CHARTER AMENDMENT BALLOT PROPOSITION.  (a)  A registered voter residing in a municipality in which the governing body of the municipality has submitted a proposed charter amendment to the voters for an upcoming election may file an action for a writ of mandamus to compel the governing body to comply with Section 9.004(e-1).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defending an action described by Subsection (a) may not accept pro bono legal services to defend the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award a plaintiff who substantially prevails in a mandamus action described by Subsection (a) the party's reasonable attorney's fees, expenses, and court costs.  The court may award a municipality that substantially prevails in the action the municipality's court costs, but the court may not award the municipality its reasonable attorney's fees or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municipal charter amendment for which an election is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