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467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procedures of the State Commission on Judicial Conduct.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33.005(b),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report must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explanation of the role of the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annual statistical information for the preceding fiscal year,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number of complaints received by the commission alleging judicial misconduct or disability;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number of complaints dismissed without commission action other than investigation because the evidence did not support the allegation or appearance of judicial misconduct or disability;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number of complaints dismissed without commission action other than investigation because the facts alleged did not constitute judicial misconduct or disability;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number of complaints dismissed without commission action other than investigation because the allegation or appearance of judicial misconduct or disability was determined to be unfounded or frivolous;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rPr>
          <w:u w:val="single"/>
        </w:rPr>
        <w:t xml:space="preserve">the number of complaints pending with the</w:t>
      </w:r>
      <w:r>
        <w:t xml:space="preserve"> commission action other than investigation because the allegation or appearance of judicial misconduct or disability was determined to be unfounded or frivolous;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rPr>
          <w:u w:val="single"/>
        </w:rPr>
        <w:t xml:space="preserve">the number of complaints pending with the commission for a year or more for which the commission has not issued a tentative decision;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complaints referred to law enforcement;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complaints deferred pending criminal investigation;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(H)</w:t>
      </w:r>
      <w:r xml:space="preserve">
        <w:t> </w:t>
      </w:r>
      <w:r xml:space="preserve">
        <w:t> </w:t>
      </w:r>
      <w:r>
        <w:t xml:space="preserve">the number of each type of judicial misconduct or disability that resulted in sanction or censure of a judge;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(I)</w:t>
      </w:r>
      <w:r xml:space="preserve">
        <w:t> </w:t>
      </w:r>
      <w:r>
        <w:t xml:space="preserve">[</w:t>
      </w:r>
      <w:r>
        <w:rPr>
          <w:strike/>
        </w:rPr>
        <w:t xml:space="preserve">(F)</w:t>
      </w:r>
      <w:r>
        <w:t xml:space="preserve">]</w:t>
      </w:r>
      <w:r xml:space="preserve">
        <w:t> </w:t>
      </w:r>
      <w:r xml:space="preserve">
        <w:t> </w:t>
      </w:r>
      <w:r>
        <w:t xml:space="preserve">examples of improper judicial conduct;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explanation of the commission's processes;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changes the commission considers necessary in its rules or the applicable statutes or constitutional provisions.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33.0211(b),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commission, [</w:t>
      </w:r>
      <w:r>
        <w:rPr>
          <w:strike/>
        </w:rPr>
        <w:t xml:space="preserve">at least quarterly</w:t>
      </w:r>
      <w:r>
        <w:t xml:space="preserve">] until final disposition of the complaint, shall notify the person filing the complaint of </w:t>
      </w:r>
      <w:r>
        <w:rPr>
          <w:u w:val="single"/>
        </w:rPr>
        <w:t xml:space="preserve">any change in</w:t>
      </w:r>
      <w:r>
        <w:t xml:space="preserve"> the status of the </w:t>
      </w:r>
      <w:r>
        <w:rPr>
          <w:u w:val="single"/>
        </w:rPr>
        <w:t xml:space="preserve">complaint</w:t>
      </w:r>
      <w:r>
        <w:t xml:space="preserve"> </w:t>
      </w:r>
      <w:r>
        <w:t xml:space="preserve">investigation unless the notice would jeopardize an undercover investigation.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33, Government Code, is amended by adding Sections 33.02114, 33.02115, and 33.02116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33.02114.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COMPLAINT INFORMATION ON COMMISSION WEBSITE.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maintain on the commission's Internet website information on each written complaint filed with the commission. </w:t>
      </w:r>
      <w:r>
        <w:rPr>
          <w:u w:val="single"/>
        </w:rPr>
        <w:t xml:space="preserve"> </w:t>
      </w:r>
      <w:r>
        <w:rPr>
          <w:u w:val="single"/>
        </w:rPr>
        <w:t xml:space="preserve">The information must be in plain language and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instructions on the steps for filing a complaint with the commission;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clear and concise description of the complaint process, from filing to disposition;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a complainant is not required to maintain confidentiality of the complaint filed by the complainant;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index of pending complaint investigations searchable by complaint number that includes the date the complaint is received by the commission and the status of the investigation or review;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on each complaint resulting in the imposition of a public sanction.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not include on the commission's Internet website any confidential complaint information.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33.02115.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SANCTION GUIDELINES.  The commission shall establish guidelines for the imposition of a sanction to ensure each sanction imposed is proportional to the judicial misconduct.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33.02116.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COMPLAINT SCHEDULE.  The commission shall establish a schedule outlining times for commission action on a complaint.  The schedule must allow the executive director to approve an extension of time for complaint disposition due to extenuating circumstances, including a need for further investigation.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467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