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25,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467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procedures of the State Commission on Judicial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explanation of the role of the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annual statistical information for the preceding fiscal year,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number of complaints received by the commission alleging judicial misconduct or disability;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number of complaints dismissed without commission action other than investigation because the evidence did not support the allegation or appearance of judicial misconduct or disability;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number of complaints dismissed without commission action other than investigation because the facts alleged did not constitute judicial misconduct or disability;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number of complaints dismissed without commission action other than investigation because the allegation or appearance of judicial misconduct or disability was determined to be unfounded or frivolous;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the number of complaints pending with the commission for a year or more for which the commission has not issued a tentative decision;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complaints referred to law enforcement;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 xml:space="preserve">
        <w:t> </w:t>
      </w:r>
      <w:r>
        <w:t xml:space="preserve">the number of each type of judicial misconduct or disability that resulted in sanction or censure of a judge;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examples of improper judicial conduct;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explanation of the commission's processes;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changes the commission considers necessary in its rules or the applicable statutes or constitutional provisions.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33.0211(b),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commission, [</w:t>
      </w:r>
      <w:r>
        <w:rPr>
          <w:strike/>
        </w:rPr>
        <w:t xml:space="preserve">at least quarterly</w:t>
      </w:r>
      <w:r>
        <w:t xml:space="preserve">] until final disposition of the complaint, shall notify the person filing the complaint of </w:t>
      </w:r>
      <w:r>
        <w:rPr>
          <w:u w:val="single"/>
        </w:rPr>
        <w:t xml:space="preserve">any change in</w:t>
      </w:r>
      <w:r>
        <w:t xml:space="preserve"> the status of the </w:t>
      </w:r>
      <w:r>
        <w:rPr>
          <w:u w:val="single"/>
        </w:rPr>
        <w:t xml:space="preserve">complaint</w:t>
      </w:r>
      <w:r>
        <w:t xml:space="preserve"> </w:t>
      </w:r>
      <w:r>
        <w:t xml:space="preserve">investigation unless the notice would jeopardize an undercover investigation.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33, Government Code, is amended by adding Sections 33.02114, 33.02115, and 33.02116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COMPLAINT INFORMATION ON COMMISSION WEBSITE.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maintain on the commission's Internet website information written in plain language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steps for filing a complaint with the commission;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complaint process, including a clear and concise description of the process from filing to disposition;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confidentiality, including a statement that a complainant is not required to maintain confidentiality of the complaint filed by the complainant;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complaint resulting in the imposition of a public sanction.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include on the commission's Internet website any confidential complaint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SANCTION GUIDELINES.  The commission shall establish guidelines for the imposition of a sanction to ensure each sanction imposed is proportional to the judicial misconduct.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33.02116.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COMPLAINT SCHEDULE.  The commission shall establish a schedule outlining times for commission action on a complaint.  The schedule must allow the executive director to approve an extension of time for complaint disposition due to extenuating circumstances, including a need for further investigation.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