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86R33718 MM-D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Kolkhorst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470</w:t>
      </w:r>
    </w:p>
    <w:p w:rsidR="003F3435" w:rsidRDefault="0032493E">
      <w:pPr>
        <w:ind w:firstLine="720"/>
        <w:jc w:val="both"/>
      </w:pPr>
      <w:r>
        <w:t xml:space="preserve">(Noble)</w:t>
      </w:r>
    </w:p>
    <w:p w:rsidR="003F3435" w:rsidRDefault="0032493E">
      <w:pPr>
        <w:spacing w:before="240" w:line="480" w:lineRule="auto"/>
        <w:jc w:val="both"/>
      </w:pPr>
      <w:r>
        <w:t xml:space="preserve">Substitute the following for</w:t>
      </w:r>
      <w:r xml:space="preserve">
        <w:t> </w:t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470:</w:t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Miller</w:t>
      </w:r>
      <w:r xml:space="preserve">
        <w:tab wTab="150" tlc="none" cTlc="0"/>
      </w:r>
      <w:r>
        <w:t xml:space="preserve">C.S.S.B.</w:t>
      </w:r>
      <w:r xml:space="preserve">
        <w:t> </w:t>
      </w:r>
      <w:r>
        <w:t xml:space="preserve">No.</w:t>
      </w:r>
      <w:r xml:space="preserve">
        <w:t> </w:t>
      </w:r>
      <w:r>
        <w:t xml:space="preserve">470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certain duties of county child welfare boards and of the Department of Family and Protective Services regarding county child welfare boards.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264.005, Family Code, is amended by amending Subsection (f) and adding Subsections (h), (i), and (j)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(f)</w:t>
      </w:r>
      <w:r xml:space="preserve">
        <w:t> </w:t>
      </w:r>
      <w:r xml:space="preserve">
        <w:t> </w:t>
      </w:r>
      <w:r>
        <w:t xml:space="preserve">A county child </w:t>
      </w:r>
      <w:r>
        <w:rPr>
          <w:u w:val="single"/>
        </w:rPr>
        <w:t xml:space="preserve">welfare</w:t>
      </w:r>
      <w:r>
        <w:t xml:space="preserve"> [</w:t>
      </w:r>
      <w:r>
        <w:rPr>
          <w:strike/>
        </w:rPr>
        <w:t xml:space="preserve">protective services</w:t>
      </w:r>
      <w:r>
        <w:t xml:space="preserve">] board member may receive information that is confidential under Section 40.005, Human Resources Code, or Section 261.201 when the board member is acting in the member's official capacity.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(h)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department: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shall identify staff to collaborate with county child welfare boards to: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coordinate efforts between the department and the boards in the provision of services; and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maximize the resources of the department and each board;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may collect publicly available financial information prepared by a county child welfare board for distribution to the county commissioners court;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shall create and make available on the department's Internet website a standardized form for each county child welfare board to report: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amount and source of public funds received by the board during the board's preceding fiscal year; and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amount and source of public funds expended by the board during the board's preceding fiscal year, including a description of the purpose of the expenditures.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(i)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Not later than November 1 of each year, each county child welfare board shall report the information described by Subsection (h)(3) on the form created under that subdivision to: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department;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commissioners court for the county or counties in which the board operates.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(j)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Notwithstanding Subsection (i), not later than January 1, 2020, each county child welfare board shall submit the initial report required by this section. </w:t>
      </w:r>
      <w:r>
        <w:rPr>
          <w:u w:val="single"/>
        </w:rPr>
        <w:t xml:space="preserve"> </w:t>
      </w:r>
      <w:r>
        <w:rPr>
          <w:u w:val="single"/>
        </w:rPr>
        <w:t xml:space="preserve">This subsection expires November 1, 2021.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The Department of Family and Protective Services shall create and distribute the form required by Section 264.005(h), Family Code, as added by this Act, not later than November 1, 2019.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C.S.S.B.</w:t>
    </w:r>
    <w:r xml:space="preserve">
      <w:t> </w:t>
    </w:r>
    <w:r>
      <w:t xml:space="preserve">No.</w:t>
    </w:r>
    <w:r xml:space="preserve">
      <w:t> </w:t>
    </w:r>
    <w:r>
      <w:t xml:space="preserve">470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