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advisory body on the security of the electric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39.917.</w:t>
      </w:r>
      <w:r>
        <w:rPr>
          <w:u w:val="single"/>
        </w:rPr>
        <w:t xml:space="preserve"> </w:t>
      </w:r>
      <w:r>
        <w:rPr>
          <w:u w:val="single"/>
        </w:rPr>
        <w:t xml:space="preserve"> </w:t>
      </w:r>
      <w:r>
        <w:rPr>
          <w:u w:val="single"/>
        </w:rPr>
        <w:t xml:space="preserve">TEXAS ELECTRIC GRID SECURITY COUNCIL.  (a)</w:t>
      </w:r>
      <w:r>
        <w:rPr>
          <w:u w:val="single"/>
        </w:rPr>
        <w:t xml:space="preserve"> </w:t>
      </w:r>
      <w:r>
        <w:rPr>
          <w:u w:val="single"/>
        </w:rPr>
        <w:t xml:space="preserve"> </w:t>
      </w:r>
      <w:r>
        <w:rPr>
          <w:u w:val="single"/>
        </w:rPr>
        <w:t xml:space="preserve">The legislature finds that there is a public interest in mitigating the risk of cyber and physical attacks that may affect the reliability of electric systems operating in Texas.  The Texas Electric Grid Security Council is established as an advisory body to facilitate the creation, aggregation, coordination, and dissemination of best security practices for the electric industry, including the generation, transmission, and delivery of electricity.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Electric Grid Security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designated as presiding officer of the commission under Section 12.052 or a representative designated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 or a representative designated by the chief executive officer;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governor or a representative designated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 of the council designated by Subsection (b)(1) shall serve as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convene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council is not entitled to compensation.  Members are entitled to reimbursement for travel and other necessary expenses related to the activities of the council as provided by the General Appropriations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council may apply for a secret security clearance or an interim security clearance granted by the United States government.  A member of the council may not access classified information or participate in a briefing or meeting involving classified information unless the member has a secret security clearance.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organization certified under Section 39.151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and resources requested by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nonclassified information obtained or created by the council, provide members of the council with access to the information, and retain the information for five years after the date that the council obtains or creates the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carrying out its functions, the council may consult and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Department of Energy;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Department of Homeland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North American Electric Reliability Corporation;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Reliability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federal and state agencies;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members of the electric industry;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grid security experts.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a request by the governor, the lieutenant governor, the chair of the house of representatives committee having jurisdiction over energy utility regulation, or the chair of the senate committee having jurisdiction over energy utility regulation, the council shall issue to the requestor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development of educational programs or marketing materials to promote the development of a grid security workforce;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grid security best practices;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preparation for events that threaten grid security;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amendments to the state emergency management plan to ensure coordinated and adaptable response and recovery efforts after events that threaten grid security.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council may prepare a report outlining grid security response efforts that do not involve classified or highly sensitive, company-specific information.  If the council prepares the report, the council shall deliver the report to the governor, lieutenant governor, and legislature on or before the December 1 immediately preceding a regular session of the legislature.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meetings of the council and information obtained or created by the council are not subject to the requirements of Chapter 551 or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475 passed the Senate on April</w:t>
      </w:r>
      <w:r xml:space="preserve">
        <w:t> </w:t>
      </w:r>
      <w:r>
        <w:t xml:space="preserve">3,</w:t>
      </w:r>
      <w:r xml:space="preserve">
        <w:t> </w:t>
      </w:r>
      <w:r>
        <w:t xml:space="preserve">2019, by the following vote:  Yeas</w:t>
      </w:r>
      <w:r xml:space="preserve">
        <w:t> </w:t>
      </w:r>
      <w:r>
        <w:t xml:space="preserve">31, Nays</w:t>
      </w:r>
      <w:r xml:space="preserve">
        <w:t> </w:t>
      </w:r>
      <w:r>
        <w:t xml:space="preserve">0; and that the Senate concurred in House amendment on May</w:t>
      </w:r>
      <w:r xml:space="preserve">
        <w:t> </w:t>
      </w:r>
      <w:r>
        <w:t xml:space="preserve">21,</w:t>
      </w:r>
      <w:r xml:space="preserve">
        <w:t> </w:t>
      </w:r>
      <w:r>
        <w:t xml:space="preserve">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475 passed the House, with amendment, on May</w:t>
      </w:r>
      <w:r xml:space="preserve">
        <w:t> </w:t>
      </w:r>
      <w:r>
        <w:t xml:space="preserve">15,</w:t>
      </w:r>
      <w:r xml:space="preserve">
        <w:t> </w:t>
      </w:r>
      <w:r>
        <w:t xml:space="preserve">2019, by the following vote:  Yeas</w:t>
      </w:r>
      <w:r xml:space="preserve">
        <w:t> </w:t>
      </w:r>
      <w:r>
        <w:t xml:space="preserve">143,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