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86R21765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475</w:t>
      </w:r>
    </w:p>
    <w:p w:rsidR="003F3435" w:rsidRDefault="0032493E">
      <w:pPr>
        <w:ind w:firstLine="720"/>
        <w:jc w:val="both"/>
      </w:pPr>
      <w:r>
        <w:t xml:space="preserve">(Hernandez, Flynn)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475:</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C.S.S.B.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  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and resources requested by the council;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nonclassified information obtained or created by the council, provide members of the council with access to the information, and retain the information for five years after the date that the council obtains or creates the information.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educational programs or marketing materials to promote 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grid security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or highly sensitive, company-specific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of the council and information obtained or created by the council are not subject to the requirements of Chapter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