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advisory body on the security of the electric grid.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39.917.</w:t>
      </w:r>
      <w:r>
        <w:rPr>
          <w:u w:val="single"/>
        </w:rPr>
        <w:t xml:space="preserve"> </w:t>
      </w:r>
      <w:r>
        <w:rPr>
          <w:u w:val="single"/>
        </w:rPr>
        <w:t xml:space="preserve"> </w:t>
      </w:r>
      <w:r>
        <w:rPr>
          <w:u w:val="single"/>
        </w:rPr>
        <w:t xml:space="preserve">TEXAS ELECTRIC GRID SECURITY COUNCIL.  (a) The legislature finds that there is a public interest in mitigating the risk of cyber and physical attacks that may affect the reliability of electric systems operating in Texas. 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Grid Security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a representative designated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of the council designated by Subsection (b)(1) shall serve as presiding officer.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council is not entitled to compensation.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may apply for a secret security clearance or an interim security clearance granted by the United States government. 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certified under Section 39.151 shall provide information and resources requested by the council.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Division of Emergency Management;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members of the electric industry;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a grid security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and implementation of grid security standards and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for events that threaten grid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council may prepare a report outlining grid security response efforts that do not involve classified information. 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meetings, recommendations, work, and findings of the council are not subject to the requirements of Chapters 551 or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