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2493E">
      <w:pPr>
        <w:ind w:firstLine="720"/>
        <w:jc w:val="both"/>
      </w:pPr>
      <w:r>
        <w:t xml:space="preserve">(Goldman)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and municipal regulation of dogs in an outdoor dining area of a food service establishment.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DOGS IN OUTDOOR DINING AREAS; MUNICIPAL PREEMPTION.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food service establishment may permit a customer to be accompanied by a dog in an outdoor dining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establishment posts a sign in a conspicuous location in the area stating that dogs are permitted;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and dog access the area directly from the exterior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dog does not enter the interior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keeps the dog on a leash and controls the dog;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does not allow the dog on a seat, table, countertop, or similar surface;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area, the establishment does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food;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open food other than food that is being served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ordinance, rule, or similar measure that imposes a requirement on a food service establishment for a dog in an outdoor dining area that is more stringent than the requirements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described by Subsection (a) do not apply to a service animal, as defined by Section 437.023(c).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